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1872" w14:textId="4A6A1745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146AC332" w14:textId="77777777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48D8BE3F" w14:textId="77777777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3CB8DE53" w14:textId="054ABB43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7F2DB5FA" w14:textId="39011E50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1DB0DA04" w14:textId="071C066B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  <w:r w:rsidRPr="00E35F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F9C65" wp14:editId="592EF7C2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946775" cy="2009775"/>
                <wp:effectExtent l="0" t="0" r="0" b="9525"/>
                <wp:wrapSquare wrapText="bothSides"/>
                <wp:docPr id="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4AF00" w14:textId="49A81ABA" w:rsidR="006022BC" w:rsidRPr="002C36CB" w:rsidRDefault="004F467A" w:rsidP="006022BC">
                            <w:pPr>
                              <w:jc w:val="center"/>
                              <w:rPr>
                                <w:rFonts w:ascii="DIN-Bold" w:hAnsi="DIN-Bold"/>
                                <w:color w:val="595959" w:themeColor="text1" w:themeTint="A6"/>
                                <w:sz w:val="50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rFonts w:ascii="DIN-Bold" w:hAnsi="DIN-Bold"/>
                                <w:color w:val="595959" w:themeColor="text1" w:themeTint="A6"/>
                                <w:sz w:val="50"/>
                                <w:szCs w:val="52"/>
                                <w:lang w:val="es-ES_tradnl"/>
                              </w:rPr>
                              <w:t>Instructivo</w:t>
                            </w:r>
                            <w:r w:rsidR="000C3C9F">
                              <w:rPr>
                                <w:rFonts w:ascii="DIN-Bold" w:hAnsi="DIN-Bold"/>
                                <w:color w:val="595959" w:themeColor="text1" w:themeTint="A6"/>
                                <w:sz w:val="50"/>
                                <w:szCs w:val="52"/>
                                <w:lang w:val="es-ES_tradnl"/>
                              </w:rPr>
                              <w:t>:</w:t>
                            </w:r>
                          </w:p>
                          <w:p w14:paraId="77355240" w14:textId="7093AAF1" w:rsidR="00E35FB6" w:rsidRDefault="00A34E22" w:rsidP="006022BC">
                            <w:pPr>
                              <w:jc w:val="center"/>
                              <w:rPr>
                                <w:rFonts w:ascii="DIN-Bold" w:hAnsi="DIN-Bold"/>
                                <w:color w:val="595959" w:themeColor="text1" w:themeTint="A6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DIN-Bold" w:hAnsi="DIN-Bold"/>
                                <w:color w:val="595959" w:themeColor="text1" w:themeTint="A6"/>
                                <w:sz w:val="48"/>
                                <w:szCs w:val="48"/>
                                <w:lang w:val="es-ES_tradnl"/>
                              </w:rPr>
                              <w:t>Pagos de Saldos PEC</w:t>
                            </w:r>
                          </w:p>
                          <w:p w14:paraId="60CDEFAE" w14:textId="48865496" w:rsidR="00C52460" w:rsidRPr="00531D62" w:rsidRDefault="00C52460" w:rsidP="006022BC">
                            <w:pPr>
                              <w:jc w:val="center"/>
                              <w:rPr>
                                <w:rFonts w:ascii="DIN-Bold" w:hAnsi="DIN-Bold"/>
                                <w:color w:val="595959" w:themeColor="text1" w:themeTint="A6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F9C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.9pt;width:468.25pt;height:158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" filled="f" stroked="f">
                <v:textbox>
                  <w:txbxContent>
                    <w:p w14:paraId="3624AF00" w14:textId="49A81ABA" w:rsidR="006022BC" w:rsidRPr="002C36CB" w:rsidRDefault="004F467A" w:rsidP="006022BC">
                      <w:pPr>
                        <w:jc w:val="center"/>
                        <w:rPr>
                          <w:rFonts w:ascii="DIN-Bold" w:hAnsi="DIN-Bold"/>
                          <w:color w:val="595959" w:themeColor="text1" w:themeTint="A6"/>
                          <w:sz w:val="50"/>
                          <w:szCs w:val="52"/>
                          <w:lang w:val="es-ES_tradnl"/>
                        </w:rPr>
                      </w:pPr>
                      <w:r>
                        <w:rPr>
                          <w:rFonts w:ascii="DIN-Bold" w:hAnsi="DIN-Bold"/>
                          <w:color w:val="595959" w:themeColor="text1" w:themeTint="A6"/>
                          <w:sz w:val="50"/>
                          <w:szCs w:val="52"/>
                          <w:lang w:val="es-ES_tradnl"/>
                        </w:rPr>
                        <w:t>Instructivo</w:t>
                      </w:r>
                      <w:r w:rsidR="000C3C9F">
                        <w:rPr>
                          <w:rFonts w:ascii="DIN-Bold" w:hAnsi="DIN-Bold"/>
                          <w:color w:val="595959" w:themeColor="text1" w:themeTint="A6"/>
                          <w:sz w:val="50"/>
                          <w:szCs w:val="52"/>
                          <w:lang w:val="es-ES_tradnl"/>
                        </w:rPr>
                        <w:t>:</w:t>
                      </w:r>
                    </w:p>
                    <w:p w14:paraId="77355240" w14:textId="7093AAF1" w:rsidR="00E35FB6" w:rsidRDefault="00A34E22" w:rsidP="006022BC">
                      <w:pPr>
                        <w:jc w:val="center"/>
                        <w:rPr>
                          <w:rFonts w:ascii="DIN-Bold" w:hAnsi="DIN-Bold"/>
                          <w:color w:val="595959" w:themeColor="text1" w:themeTint="A6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DIN-Bold" w:hAnsi="DIN-Bold"/>
                          <w:color w:val="595959" w:themeColor="text1" w:themeTint="A6"/>
                          <w:sz w:val="48"/>
                          <w:szCs w:val="48"/>
                          <w:lang w:val="es-ES_tradnl"/>
                        </w:rPr>
                        <w:t>Pagos de Saldos PEC</w:t>
                      </w:r>
                    </w:p>
                    <w:p w14:paraId="60CDEFAE" w14:textId="48865496" w:rsidR="00C52460" w:rsidRPr="00531D62" w:rsidRDefault="00C52460" w:rsidP="006022BC">
                      <w:pPr>
                        <w:jc w:val="center"/>
                        <w:rPr>
                          <w:rFonts w:ascii="DIN-Bold" w:hAnsi="DIN-Bold"/>
                          <w:color w:val="595959" w:themeColor="text1" w:themeTint="A6"/>
                          <w:sz w:val="48"/>
                          <w:szCs w:val="48"/>
                          <w:lang w:val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AB34C8" w14:textId="58E4DEA7" w:rsidR="001E6B1A" w:rsidRPr="00E35FB6" w:rsidRDefault="00A34E22" w:rsidP="00D12BBE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Dic</w:t>
      </w:r>
      <w:r w:rsidR="00CA4770">
        <w:rPr>
          <w:rFonts w:cstheme="minorHAnsi"/>
          <w:b/>
          <w:bCs/>
          <w:sz w:val="28"/>
          <w:szCs w:val="28"/>
        </w:rPr>
        <w:t>iembre</w:t>
      </w:r>
      <w:r w:rsidR="00B52291" w:rsidRPr="00E35FB6">
        <w:rPr>
          <w:rFonts w:cstheme="minorHAnsi"/>
          <w:b/>
          <w:bCs/>
          <w:sz w:val="28"/>
          <w:szCs w:val="28"/>
        </w:rPr>
        <w:t xml:space="preserve"> </w:t>
      </w:r>
      <w:r w:rsidR="00D70FF8">
        <w:rPr>
          <w:rFonts w:cstheme="minorHAnsi"/>
          <w:b/>
          <w:bCs/>
          <w:sz w:val="28"/>
          <w:szCs w:val="28"/>
        </w:rPr>
        <w:t>202</w:t>
      </w:r>
      <w:r w:rsidR="00592026">
        <w:rPr>
          <w:rFonts w:cstheme="minorHAnsi"/>
          <w:b/>
          <w:bCs/>
          <w:sz w:val="28"/>
          <w:szCs w:val="28"/>
        </w:rPr>
        <w:t>4</w:t>
      </w:r>
    </w:p>
    <w:p w14:paraId="339D17FE" w14:textId="77777777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70C8FC0F" w14:textId="6F554753" w:rsidR="00F94B0C" w:rsidRPr="00E35FB6" w:rsidRDefault="00F94B0C" w:rsidP="00D12BBE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5FB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B38B12" wp14:editId="359E1ECF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124090" cy="0"/>
                <wp:effectExtent l="0" t="0" r="0" b="0"/>
                <wp:wrapNone/>
                <wp:docPr id="2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09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30644" id="Conector recto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03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" strokecolor="gray [1629]" strokeweight=".25pt">
                <v:stroke joinstyle="miter"/>
                <w10:wrap anchorx="margin"/>
              </v:line>
            </w:pict>
          </mc:Fallback>
        </mc:AlternateContent>
      </w:r>
    </w:p>
    <w:p w14:paraId="616E594B" w14:textId="72B1FA12" w:rsidR="00F94B0C" w:rsidRDefault="00F94B0C" w:rsidP="00D12BBE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5FB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3AF307" wp14:editId="1F5D2F73">
                <wp:simplePos x="0" y="0"/>
                <wp:positionH relativeFrom="margin">
                  <wp:align>center</wp:align>
                </wp:positionH>
                <wp:positionV relativeFrom="paragraph">
                  <wp:posOffset>5003800</wp:posOffset>
                </wp:positionV>
                <wp:extent cx="5124090" cy="0"/>
                <wp:effectExtent l="0" t="0" r="0" b="0"/>
                <wp:wrapNone/>
                <wp:docPr id="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09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3958" id="Conector recto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94pt" to="403.4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" strokecolor="gray [1629]" strokeweight=".25pt">
                <v:stroke joinstyle="miter"/>
                <w10:wrap anchorx="margin"/>
              </v:line>
            </w:pict>
          </mc:Fallback>
        </mc:AlternateContent>
      </w:r>
      <w:r w:rsidR="00D70FF8">
        <w:rPr>
          <w:rFonts w:cstheme="minorHAnsi"/>
          <w:b/>
          <w:bCs/>
          <w:sz w:val="28"/>
          <w:szCs w:val="28"/>
        </w:rPr>
        <w:t>Departamento de Balances y Cargos en Distribución</w:t>
      </w:r>
    </w:p>
    <w:p w14:paraId="34B25A4D" w14:textId="626AD5AB" w:rsidR="00F94B0C" w:rsidRDefault="00D70FF8" w:rsidP="00D12BBE">
      <w:pPr>
        <w:spacing w:before="100" w:beforeAutospacing="1" w:after="100" w:afterAutospacing="1" w:line="240" w:lineRule="auto"/>
        <w:ind w:left="708" w:hanging="70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Subgerencia de Transacciones de Mercado</w:t>
      </w:r>
    </w:p>
    <w:p w14:paraId="45906E96" w14:textId="5B2DD1F8" w:rsidR="00F94B0C" w:rsidRPr="00E35FB6" w:rsidRDefault="00D70FF8" w:rsidP="00D12BBE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Gerencia de M</w:t>
      </w:r>
      <w:r w:rsidR="007051B5">
        <w:rPr>
          <w:rFonts w:cstheme="minorHAnsi"/>
          <w:b/>
          <w:bCs/>
          <w:sz w:val="28"/>
          <w:szCs w:val="28"/>
        </w:rPr>
        <w:t>e</w:t>
      </w:r>
      <w:r>
        <w:rPr>
          <w:rFonts w:cstheme="minorHAnsi"/>
          <w:b/>
          <w:bCs/>
          <w:sz w:val="28"/>
          <w:szCs w:val="28"/>
        </w:rPr>
        <w:t>rcados</w:t>
      </w:r>
    </w:p>
    <w:p w14:paraId="06F51134" w14:textId="77777777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0C7D8640" w14:textId="77777777" w:rsidR="00F94B0C" w:rsidRPr="00E35FB6" w:rsidRDefault="00F94B0C" w:rsidP="00D12BBE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</w:p>
    <w:p w14:paraId="3640FA29" w14:textId="7E41E94E" w:rsidR="00F94B0C" w:rsidRPr="000B1FA4" w:rsidRDefault="000B1FA4" w:rsidP="00D12BBE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B1FA4">
        <w:rPr>
          <w:rFonts w:cstheme="minorHAnsi"/>
          <w:b/>
          <w:bCs/>
          <w:sz w:val="20"/>
          <w:szCs w:val="20"/>
        </w:rPr>
        <w:t>V.</w:t>
      </w:r>
      <w:r w:rsidR="00A34E22">
        <w:rPr>
          <w:rFonts w:cstheme="minorHAnsi"/>
          <w:b/>
          <w:bCs/>
          <w:sz w:val="20"/>
          <w:szCs w:val="20"/>
        </w:rPr>
        <w:t>1</w:t>
      </w:r>
    </w:p>
    <w:p w14:paraId="70D1F4E4" w14:textId="08E7F6A2" w:rsidR="00F94B0C" w:rsidRPr="00E35FB6" w:rsidRDefault="000C3C9F" w:rsidP="00D12BBE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hyperlink r:id="rId8" w:history="1">
        <w:r w:rsidRPr="00F44BCC">
          <w:rPr>
            <w:rStyle w:val="Hipervnculo"/>
            <w:rFonts w:cstheme="minorHAnsi"/>
            <w:b/>
            <w:bCs/>
            <w:sz w:val="28"/>
            <w:szCs w:val="28"/>
          </w:rPr>
          <w:t>www.coordinador.cl</w:t>
        </w:r>
      </w:hyperlink>
      <w:r>
        <w:rPr>
          <w:rFonts w:cstheme="minorHAnsi"/>
          <w:b/>
          <w:bCs/>
          <w:sz w:val="28"/>
          <w:szCs w:val="28"/>
        </w:rPr>
        <w:t xml:space="preserve"> </w:t>
      </w:r>
      <w:r w:rsidR="00F94B0C" w:rsidRPr="00E35FB6">
        <w:rPr>
          <w:rFonts w:cstheme="minorHAnsi"/>
          <w:b/>
          <w:bCs/>
          <w:sz w:val="28"/>
          <w:szCs w:val="28"/>
        </w:rPr>
        <w:br w:type="page"/>
      </w:r>
    </w:p>
    <w:p w14:paraId="1026171C" w14:textId="7A6B9C89" w:rsidR="002C36CB" w:rsidRPr="002C36CB" w:rsidRDefault="002C36CB" w:rsidP="00D12BBE">
      <w:pPr>
        <w:pStyle w:val="TtuloTDC"/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2C36C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>CONTROL DEL DOCUMENTO</w:t>
      </w:r>
    </w:p>
    <w:p w14:paraId="0D612956" w14:textId="637B7B91" w:rsidR="002C36CB" w:rsidRDefault="002C36CB" w:rsidP="00D12BBE">
      <w:pPr>
        <w:spacing w:before="100" w:beforeAutospacing="1" w:after="100" w:afterAutospacing="1" w:line="240" w:lineRule="auto"/>
      </w:pPr>
    </w:p>
    <w:p w14:paraId="24391C9F" w14:textId="3C6CE47F" w:rsidR="002C36CB" w:rsidRDefault="002C36CB" w:rsidP="00D12BBE">
      <w:pPr>
        <w:spacing w:before="100" w:beforeAutospacing="1" w:after="100" w:afterAutospacing="1" w:line="240" w:lineRule="auto"/>
        <w:rPr>
          <w:b/>
          <w:bCs/>
        </w:rPr>
      </w:pPr>
      <w:r w:rsidRPr="002C36CB">
        <w:rPr>
          <w:b/>
          <w:bCs/>
        </w:rPr>
        <w:t>APROBACIÓN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"/>
        <w:gridCol w:w="2223"/>
        <w:gridCol w:w="5719"/>
      </w:tblGrid>
      <w:tr w:rsidR="00BB6963" w14:paraId="563E18BD" w14:textId="77777777" w:rsidTr="00107D66">
        <w:tc>
          <w:tcPr>
            <w:tcW w:w="896" w:type="dxa"/>
            <w:tcBorders>
              <w:top w:val="nil"/>
              <w:left w:val="nil"/>
              <w:bottom w:val="single" w:sz="18" w:space="0" w:color="auto"/>
            </w:tcBorders>
          </w:tcPr>
          <w:p w14:paraId="556626E0" w14:textId="77777777" w:rsidR="00BB6963" w:rsidRPr="002C36CB" w:rsidRDefault="00BB6963" w:rsidP="00D12BBE">
            <w:pPr>
              <w:spacing w:before="100" w:beforeAutospacing="1" w:after="100" w:afterAutospacing="1"/>
            </w:pPr>
            <w:r w:rsidRPr="002C36CB">
              <w:t>Versión</w:t>
            </w:r>
          </w:p>
        </w:tc>
        <w:tc>
          <w:tcPr>
            <w:tcW w:w="2223" w:type="dxa"/>
            <w:tcBorders>
              <w:top w:val="nil"/>
              <w:bottom w:val="single" w:sz="18" w:space="0" w:color="auto"/>
              <w:right w:val="nil"/>
            </w:tcBorders>
          </w:tcPr>
          <w:p w14:paraId="4AEE3086" w14:textId="77777777" w:rsidR="00BB6963" w:rsidRPr="002C36CB" w:rsidRDefault="00BB6963" w:rsidP="00D12BBE">
            <w:pPr>
              <w:spacing w:before="100" w:beforeAutospacing="1" w:after="100" w:afterAutospacing="1"/>
            </w:pPr>
            <w:r w:rsidRPr="002C36CB">
              <w:t>Nombre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C853A8" w14:textId="77777777" w:rsidR="00BB6963" w:rsidRPr="002C36CB" w:rsidRDefault="00BB6963" w:rsidP="00D12BBE">
            <w:pPr>
              <w:spacing w:before="100" w:beforeAutospacing="1" w:after="100" w:afterAutospacing="1"/>
            </w:pPr>
            <w:r w:rsidRPr="002C36CB">
              <w:t>Cargo</w:t>
            </w:r>
          </w:p>
        </w:tc>
      </w:tr>
      <w:tr w:rsidR="00BB6963" w14:paraId="53BF3CB3" w14:textId="77777777" w:rsidTr="00107D66">
        <w:tc>
          <w:tcPr>
            <w:tcW w:w="896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747FA28" w14:textId="4D5801E4" w:rsidR="00BB6963" w:rsidRPr="002C36CB" w:rsidRDefault="00C26ACD" w:rsidP="00D12BB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223" w:type="dxa"/>
            <w:tcBorders>
              <w:top w:val="single" w:sz="18" w:space="0" w:color="auto"/>
              <w:bottom w:val="single" w:sz="4" w:space="0" w:color="auto"/>
            </w:tcBorders>
          </w:tcPr>
          <w:p w14:paraId="0F548ECD" w14:textId="705CAE8E" w:rsidR="00BB6963" w:rsidRPr="002C36CB" w:rsidRDefault="00BB6963" w:rsidP="00D12BBE">
            <w:pPr>
              <w:spacing w:before="100" w:beforeAutospacing="1" w:after="100" w:afterAutospacing="1"/>
            </w:pPr>
          </w:p>
        </w:tc>
        <w:tc>
          <w:tcPr>
            <w:tcW w:w="5719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39F6FFC7" w14:textId="7998A772" w:rsidR="00BB6963" w:rsidRPr="002C36CB" w:rsidRDefault="00BB6963" w:rsidP="00D12BBE">
            <w:pPr>
              <w:spacing w:before="100" w:beforeAutospacing="1" w:after="100" w:afterAutospacing="1"/>
            </w:pPr>
          </w:p>
        </w:tc>
      </w:tr>
      <w:tr w:rsidR="00BB6963" w14:paraId="3F0BA2AF" w14:textId="77777777" w:rsidTr="00107D66">
        <w:tc>
          <w:tcPr>
            <w:tcW w:w="896" w:type="dxa"/>
            <w:vMerge/>
            <w:tcBorders>
              <w:left w:val="nil"/>
            </w:tcBorders>
          </w:tcPr>
          <w:p w14:paraId="6A887CD6" w14:textId="77777777" w:rsidR="00BB6963" w:rsidRPr="002C36CB" w:rsidRDefault="00BB6963" w:rsidP="00D12BBE">
            <w:pPr>
              <w:spacing w:before="100" w:beforeAutospacing="1" w:after="100" w:afterAutospacing="1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112A0778" w14:textId="047A7F19" w:rsidR="00BB6963" w:rsidRDefault="00BB6963" w:rsidP="00D12BBE">
            <w:pPr>
              <w:spacing w:before="100" w:beforeAutospacing="1" w:after="100" w:afterAutospacing="1"/>
            </w:pPr>
          </w:p>
        </w:tc>
        <w:tc>
          <w:tcPr>
            <w:tcW w:w="5719" w:type="dxa"/>
            <w:tcBorders>
              <w:top w:val="single" w:sz="4" w:space="0" w:color="auto"/>
              <w:right w:val="nil"/>
            </w:tcBorders>
          </w:tcPr>
          <w:p w14:paraId="146D4563" w14:textId="2EA17E64" w:rsidR="00BB6963" w:rsidRDefault="00BB6963" w:rsidP="00D12BBE">
            <w:pPr>
              <w:spacing w:before="100" w:beforeAutospacing="1" w:after="100" w:afterAutospacing="1"/>
            </w:pPr>
          </w:p>
        </w:tc>
      </w:tr>
    </w:tbl>
    <w:p w14:paraId="5BBDCC22" w14:textId="77777777" w:rsidR="000C3C9F" w:rsidRPr="002C36CB" w:rsidRDefault="000C3C9F" w:rsidP="00D12BBE">
      <w:pPr>
        <w:spacing w:before="100" w:beforeAutospacing="1" w:after="100" w:afterAutospacing="1" w:line="240" w:lineRule="auto"/>
        <w:rPr>
          <w:b/>
          <w:bCs/>
        </w:rPr>
      </w:pPr>
    </w:p>
    <w:p w14:paraId="0BD834D9" w14:textId="47E27661" w:rsidR="00B240D9" w:rsidRDefault="00B240D9" w:rsidP="00D12BBE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REVISOR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"/>
        <w:gridCol w:w="2223"/>
        <w:gridCol w:w="5719"/>
      </w:tblGrid>
      <w:tr w:rsidR="00B240D9" w14:paraId="6FD28FA3" w14:textId="77777777" w:rsidTr="00F650BF">
        <w:tc>
          <w:tcPr>
            <w:tcW w:w="896" w:type="dxa"/>
            <w:tcBorders>
              <w:top w:val="nil"/>
              <w:left w:val="nil"/>
              <w:bottom w:val="single" w:sz="18" w:space="0" w:color="auto"/>
            </w:tcBorders>
          </w:tcPr>
          <w:p w14:paraId="00701858" w14:textId="77777777" w:rsidR="00B240D9" w:rsidRPr="002C36CB" w:rsidRDefault="00B240D9" w:rsidP="00D12BBE">
            <w:pPr>
              <w:spacing w:before="100" w:beforeAutospacing="1" w:after="100" w:afterAutospacing="1"/>
            </w:pPr>
            <w:r w:rsidRPr="002C36CB">
              <w:t>Versión</w:t>
            </w:r>
          </w:p>
        </w:tc>
        <w:tc>
          <w:tcPr>
            <w:tcW w:w="2223" w:type="dxa"/>
            <w:tcBorders>
              <w:top w:val="nil"/>
              <w:bottom w:val="single" w:sz="18" w:space="0" w:color="auto"/>
              <w:right w:val="nil"/>
            </w:tcBorders>
          </w:tcPr>
          <w:p w14:paraId="6762899A" w14:textId="77777777" w:rsidR="00B240D9" w:rsidRPr="002C36CB" w:rsidRDefault="00B240D9" w:rsidP="00D12BBE">
            <w:pPr>
              <w:spacing w:before="100" w:beforeAutospacing="1" w:after="100" w:afterAutospacing="1"/>
            </w:pPr>
            <w:r w:rsidRPr="002C36CB">
              <w:t>Nombre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45B8E2" w14:textId="77777777" w:rsidR="00B240D9" w:rsidRPr="002C36CB" w:rsidRDefault="00B240D9" w:rsidP="00D12BBE">
            <w:pPr>
              <w:spacing w:before="100" w:beforeAutospacing="1" w:after="100" w:afterAutospacing="1"/>
            </w:pPr>
            <w:r w:rsidRPr="002C36CB">
              <w:t>Cargo</w:t>
            </w:r>
          </w:p>
        </w:tc>
      </w:tr>
      <w:tr w:rsidR="004D7DD9" w14:paraId="050EFF67" w14:textId="77777777" w:rsidTr="00F650BF">
        <w:tc>
          <w:tcPr>
            <w:tcW w:w="896" w:type="dxa"/>
            <w:tcBorders>
              <w:left w:val="nil"/>
            </w:tcBorders>
          </w:tcPr>
          <w:p w14:paraId="7FE86868" w14:textId="6763B1E5" w:rsidR="004D7DD9" w:rsidRPr="002C36CB" w:rsidRDefault="00C26ACD" w:rsidP="00D12BB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11FA5F69" w14:textId="17C16C10" w:rsidR="004D7DD9" w:rsidRDefault="004D7DD9" w:rsidP="00D12BBE">
            <w:pPr>
              <w:spacing w:before="100" w:beforeAutospacing="1" w:after="100" w:afterAutospacing="1"/>
            </w:pPr>
          </w:p>
        </w:tc>
        <w:tc>
          <w:tcPr>
            <w:tcW w:w="5719" w:type="dxa"/>
            <w:tcBorders>
              <w:top w:val="single" w:sz="4" w:space="0" w:color="auto"/>
              <w:right w:val="nil"/>
            </w:tcBorders>
          </w:tcPr>
          <w:p w14:paraId="4D2AFBE9" w14:textId="6A6AA178" w:rsidR="004D7DD9" w:rsidRDefault="004D7DD9" w:rsidP="00D12BBE">
            <w:pPr>
              <w:spacing w:before="100" w:beforeAutospacing="1" w:after="100" w:afterAutospacing="1"/>
            </w:pPr>
          </w:p>
        </w:tc>
      </w:tr>
    </w:tbl>
    <w:p w14:paraId="611923E4" w14:textId="5CF3F543" w:rsidR="002C36CB" w:rsidRDefault="002C36CB" w:rsidP="00D12BBE">
      <w:pPr>
        <w:spacing w:before="100" w:beforeAutospacing="1" w:after="100" w:afterAutospacing="1" w:line="240" w:lineRule="auto"/>
      </w:pPr>
    </w:p>
    <w:p w14:paraId="2BFB4FEA" w14:textId="456D8B99" w:rsidR="002A2E77" w:rsidRPr="000C3C9F" w:rsidRDefault="002A2E77" w:rsidP="00D12BBE">
      <w:pPr>
        <w:spacing w:before="100" w:beforeAutospacing="1" w:after="100" w:afterAutospacing="1" w:line="240" w:lineRule="auto"/>
        <w:rPr>
          <w:b/>
          <w:bCs/>
        </w:rPr>
      </w:pPr>
      <w:r w:rsidRPr="002A2E77">
        <w:rPr>
          <w:b/>
          <w:bCs/>
        </w:rPr>
        <w:t>AUTORES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"/>
        <w:gridCol w:w="2081"/>
        <w:gridCol w:w="5861"/>
      </w:tblGrid>
      <w:tr w:rsidR="00BB6963" w14:paraId="2676247D" w14:textId="77777777" w:rsidTr="000C3C9F">
        <w:tc>
          <w:tcPr>
            <w:tcW w:w="896" w:type="dxa"/>
            <w:tcBorders>
              <w:top w:val="nil"/>
              <w:left w:val="nil"/>
              <w:bottom w:val="single" w:sz="18" w:space="0" w:color="auto"/>
            </w:tcBorders>
          </w:tcPr>
          <w:p w14:paraId="30927C3E" w14:textId="77777777" w:rsidR="00BB6963" w:rsidRPr="002C36CB" w:rsidRDefault="00BB6963" w:rsidP="00D12BBE">
            <w:pPr>
              <w:spacing w:before="100" w:beforeAutospacing="1" w:after="100" w:afterAutospacing="1"/>
            </w:pPr>
            <w:r w:rsidRPr="002C36CB">
              <w:t>Versión</w:t>
            </w:r>
          </w:p>
        </w:tc>
        <w:tc>
          <w:tcPr>
            <w:tcW w:w="2081" w:type="dxa"/>
            <w:tcBorders>
              <w:top w:val="nil"/>
              <w:bottom w:val="single" w:sz="18" w:space="0" w:color="auto"/>
              <w:right w:val="nil"/>
            </w:tcBorders>
          </w:tcPr>
          <w:p w14:paraId="7EB5336E" w14:textId="77777777" w:rsidR="00BB6963" w:rsidRPr="002C36CB" w:rsidRDefault="00BB6963" w:rsidP="00D12BBE">
            <w:pPr>
              <w:spacing w:before="100" w:beforeAutospacing="1" w:after="100" w:afterAutospacing="1"/>
            </w:pPr>
            <w:r w:rsidRPr="002C36CB">
              <w:t>Nombre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830C29" w14:textId="77777777" w:rsidR="00BB6963" w:rsidRPr="002C36CB" w:rsidRDefault="00BB6963" w:rsidP="00D12BBE">
            <w:pPr>
              <w:spacing w:before="100" w:beforeAutospacing="1" w:after="100" w:afterAutospacing="1"/>
            </w:pPr>
            <w:r w:rsidRPr="002C36CB">
              <w:t>Cargo</w:t>
            </w:r>
          </w:p>
        </w:tc>
      </w:tr>
      <w:tr w:rsidR="00BB6963" w14:paraId="3C14EF08" w14:textId="77777777" w:rsidTr="000C3C9F">
        <w:tc>
          <w:tcPr>
            <w:tcW w:w="896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D628D9A" w14:textId="54C73713" w:rsidR="00BB6963" w:rsidRPr="002C36CB" w:rsidRDefault="00C26ACD" w:rsidP="00D12BB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18" w:space="0" w:color="auto"/>
              <w:bottom w:val="single" w:sz="4" w:space="0" w:color="auto"/>
            </w:tcBorders>
          </w:tcPr>
          <w:p w14:paraId="68DF1DA4" w14:textId="345CAFA2" w:rsidR="00BB6963" w:rsidRPr="002C36CB" w:rsidRDefault="00BB6963" w:rsidP="00D12BBE">
            <w:pPr>
              <w:spacing w:before="100" w:beforeAutospacing="1" w:after="100" w:afterAutospacing="1"/>
            </w:pPr>
          </w:p>
        </w:tc>
        <w:tc>
          <w:tcPr>
            <w:tcW w:w="5861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52810E78" w14:textId="725B51C4" w:rsidR="00BB6963" w:rsidRPr="002C36CB" w:rsidRDefault="00BB6963" w:rsidP="00D12BBE">
            <w:pPr>
              <w:spacing w:before="100" w:beforeAutospacing="1" w:after="100" w:afterAutospacing="1"/>
            </w:pPr>
          </w:p>
        </w:tc>
      </w:tr>
      <w:tr w:rsidR="00BB6963" w14:paraId="43FC669F" w14:textId="77777777" w:rsidTr="000C3C9F">
        <w:tc>
          <w:tcPr>
            <w:tcW w:w="896" w:type="dxa"/>
            <w:vMerge/>
            <w:tcBorders>
              <w:top w:val="single" w:sz="18" w:space="0" w:color="auto"/>
              <w:left w:val="nil"/>
            </w:tcBorders>
            <w:vAlign w:val="center"/>
          </w:tcPr>
          <w:p w14:paraId="39DA9388" w14:textId="77777777" w:rsidR="00BB6963" w:rsidRPr="002C36CB" w:rsidRDefault="00BB6963" w:rsidP="00D12BBE">
            <w:pPr>
              <w:spacing w:before="100" w:beforeAutospacing="1" w:after="100" w:afterAutospacing="1"/>
              <w:jc w:val="center"/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115A88B3" w14:textId="1595DC64" w:rsidR="00BB6963" w:rsidRDefault="00BB6963" w:rsidP="00D12BBE">
            <w:pPr>
              <w:spacing w:before="100" w:beforeAutospacing="1" w:after="100" w:afterAutospacing="1"/>
            </w:pPr>
          </w:p>
        </w:tc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AE8A8" w14:textId="62CAB530" w:rsidR="00BB6963" w:rsidRDefault="00BB6963" w:rsidP="00D12BBE">
            <w:pPr>
              <w:spacing w:before="100" w:beforeAutospacing="1" w:after="100" w:afterAutospacing="1"/>
            </w:pPr>
          </w:p>
        </w:tc>
      </w:tr>
      <w:tr w:rsidR="00BB6963" w14:paraId="63AA8F07" w14:textId="77777777" w:rsidTr="000C3C9F">
        <w:tc>
          <w:tcPr>
            <w:tcW w:w="896" w:type="dxa"/>
            <w:vMerge/>
            <w:tcBorders>
              <w:left w:val="nil"/>
            </w:tcBorders>
          </w:tcPr>
          <w:p w14:paraId="0A22CCCB" w14:textId="77777777" w:rsidR="00BB6963" w:rsidRPr="002C36CB" w:rsidRDefault="00BB6963" w:rsidP="00D12BBE">
            <w:pPr>
              <w:spacing w:before="100" w:beforeAutospacing="1" w:after="100" w:afterAutospacing="1"/>
              <w:jc w:val="center"/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741734C6" w14:textId="495E4A1D" w:rsidR="00BB6963" w:rsidRDefault="00BB6963" w:rsidP="00D12BBE">
            <w:pPr>
              <w:spacing w:before="100" w:beforeAutospacing="1" w:after="100" w:afterAutospacing="1"/>
            </w:pPr>
          </w:p>
        </w:tc>
        <w:tc>
          <w:tcPr>
            <w:tcW w:w="5861" w:type="dxa"/>
            <w:tcBorders>
              <w:top w:val="single" w:sz="4" w:space="0" w:color="auto"/>
              <w:right w:val="nil"/>
            </w:tcBorders>
          </w:tcPr>
          <w:p w14:paraId="39509680" w14:textId="313495A9" w:rsidR="00BB6963" w:rsidRDefault="00BB6963" w:rsidP="00D12BBE">
            <w:pPr>
              <w:spacing w:before="100" w:beforeAutospacing="1" w:after="100" w:afterAutospacing="1"/>
            </w:pPr>
          </w:p>
        </w:tc>
      </w:tr>
    </w:tbl>
    <w:p w14:paraId="1A48E744" w14:textId="77777777" w:rsidR="002A2E77" w:rsidRDefault="002A2E77" w:rsidP="00D12BBE">
      <w:pPr>
        <w:spacing w:before="100" w:beforeAutospacing="1" w:after="100" w:afterAutospacing="1" w:line="240" w:lineRule="auto"/>
      </w:pPr>
    </w:p>
    <w:p w14:paraId="0BAB6DBE" w14:textId="018151A9" w:rsidR="002A2E77" w:rsidRPr="002A2E77" w:rsidRDefault="002A2E77" w:rsidP="00D12BBE">
      <w:pPr>
        <w:spacing w:before="100" w:beforeAutospacing="1" w:after="100" w:afterAutospacing="1" w:line="240" w:lineRule="auto"/>
        <w:rPr>
          <w:b/>
          <w:bCs/>
        </w:rPr>
      </w:pPr>
      <w:r w:rsidRPr="002A2E77">
        <w:rPr>
          <w:b/>
          <w:bCs/>
        </w:rPr>
        <w:t>REGISTRO DE CAMBIO</w:t>
      </w:r>
      <w:r w:rsidR="000C3C9F">
        <w:rPr>
          <w:b/>
          <w:bCs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"/>
        <w:gridCol w:w="2365"/>
        <w:gridCol w:w="5577"/>
      </w:tblGrid>
      <w:tr w:rsidR="00E61A12" w14:paraId="24194C21" w14:textId="77777777" w:rsidTr="009E6CBA">
        <w:tc>
          <w:tcPr>
            <w:tcW w:w="89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361BD04F" w14:textId="53E75333" w:rsidR="00E61A12" w:rsidRPr="00667B0D" w:rsidRDefault="00667B0D" w:rsidP="00D12BBE">
            <w:pPr>
              <w:spacing w:before="100" w:beforeAutospacing="1" w:after="100" w:afterAutospacing="1"/>
            </w:pPr>
            <w:r w:rsidRPr="00667B0D">
              <w:t>Versión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641337B2" w14:textId="396F3017" w:rsidR="00E61A12" w:rsidRPr="00667B0D" w:rsidRDefault="00667B0D" w:rsidP="00D12BBE">
            <w:pPr>
              <w:spacing w:before="100" w:beforeAutospacing="1" w:after="100" w:afterAutospacing="1"/>
            </w:pPr>
            <w:r w:rsidRPr="00667B0D">
              <w:t>Fecha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4C8F10" w14:textId="6507A168" w:rsidR="00E61A12" w:rsidRPr="00667B0D" w:rsidRDefault="00667B0D" w:rsidP="00D12BBE">
            <w:pPr>
              <w:spacing w:before="100" w:beforeAutospacing="1" w:after="100" w:afterAutospacing="1"/>
            </w:pPr>
            <w:r w:rsidRPr="00667B0D">
              <w:t>Descripción del Cambio</w:t>
            </w:r>
          </w:p>
        </w:tc>
      </w:tr>
      <w:tr w:rsidR="00E61A12" w14:paraId="5A48C35E" w14:textId="77777777" w:rsidTr="009E6CBA">
        <w:tc>
          <w:tcPr>
            <w:tcW w:w="896" w:type="dxa"/>
            <w:tcBorders>
              <w:top w:val="single" w:sz="18" w:space="0" w:color="auto"/>
              <w:left w:val="nil"/>
            </w:tcBorders>
          </w:tcPr>
          <w:p w14:paraId="798A565E" w14:textId="0BEAAC16" w:rsidR="00E61A12" w:rsidRPr="00667B0D" w:rsidRDefault="00667B0D" w:rsidP="00D12BBE">
            <w:pPr>
              <w:spacing w:before="100" w:beforeAutospacing="1" w:after="100" w:afterAutospacing="1"/>
              <w:jc w:val="center"/>
            </w:pPr>
            <w:r w:rsidRPr="00667B0D">
              <w:t>1</w:t>
            </w:r>
          </w:p>
        </w:tc>
        <w:tc>
          <w:tcPr>
            <w:tcW w:w="2365" w:type="dxa"/>
            <w:tcBorders>
              <w:top w:val="single" w:sz="18" w:space="0" w:color="auto"/>
            </w:tcBorders>
          </w:tcPr>
          <w:p w14:paraId="4B203FD2" w14:textId="0654D16D" w:rsidR="00E61A12" w:rsidRPr="00667B0D" w:rsidRDefault="00911A32" w:rsidP="00D12BBE">
            <w:pPr>
              <w:spacing w:before="100" w:beforeAutospacing="1" w:after="100" w:afterAutospacing="1"/>
            </w:pPr>
            <w:r>
              <w:t>17</w:t>
            </w:r>
            <w:r w:rsidR="00C26ACD">
              <w:t xml:space="preserve"> de diciembre 2024</w:t>
            </w:r>
          </w:p>
        </w:tc>
        <w:tc>
          <w:tcPr>
            <w:tcW w:w="5577" w:type="dxa"/>
            <w:tcBorders>
              <w:top w:val="single" w:sz="18" w:space="0" w:color="auto"/>
              <w:right w:val="nil"/>
            </w:tcBorders>
          </w:tcPr>
          <w:p w14:paraId="2F3D35E1" w14:textId="6A4585FF" w:rsidR="00E61A12" w:rsidRPr="00667B0D" w:rsidRDefault="000C3C9F" w:rsidP="00D12BBE">
            <w:pPr>
              <w:spacing w:before="100" w:beforeAutospacing="1" w:after="100" w:afterAutospacing="1"/>
            </w:pPr>
            <w:r>
              <w:t>Documento para revisión</w:t>
            </w:r>
          </w:p>
        </w:tc>
      </w:tr>
      <w:tr w:rsidR="00E61A12" w14:paraId="5D76FD9E" w14:textId="77777777" w:rsidTr="009E6CBA">
        <w:tc>
          <w:tcPr>
            <w:tcW w:w="896" w:type="dxa"/>
            <w:tcBorders>
              <w:left w:val="nil"/>
            </w:tcBorders>
          </w:tcPr>
          <w:p w14:paraId="347BC3B1" w14:textId="40BA941E" w:rsidR="00E61A12" w:rsidRPr="00667B0D" w:rsidRDefault="00E61A12" w:rsidP="00D12BBE">
            <w:pPr>
              <w:spacing w:before="100" w:beforeAutospacing="1" w:after="100" w:afterAutospacing="1"/>
              <w:jc w:val="center"/>
            </w:pPr>
          </w:p>
        </w:tc>
        <w:tc>
          <w:tcPr>
            <w:tcW w:w="2365" w:type="dxa"/>
          </w:tcPr>
          <w:p w14:paraId="0B0F2F47" w14:textId="10BE0C64" w:rsidR="00E61A12" w:rsidRPr="00667B0D" w:rsidRDefault="00E61A12" w:rsidP="00D12BBE">
            <w:pPr>
              <w:spacing w:before="100" w:beforeAutospacing="1" w:after="100" w:afterAutospacing="1"/>
            </w:pPr>
          </w:p>
        </w:tc>
        <w:tc>
          <w:tcPr>
            <w:tcW w:w="5577" w:type="dxa"/>
            <w:tcBorders>
              <w:right w:val="nil"/>
            </w:tcBorders>
          </w:tcPr>
          <w:p w14:paraId="60955F54" w14:textId="44D88030" w:rsidR="00E61A12" w:rsidRPr="00667B0D" w:rsidRDefault="00E61A12" w:rsidP="00D12BBE">
            <w:pPr>
              <w:spacing w:before="100" w:beforeAutospacing="1" w:after="100" w:afterAutospacing="1"/>
            </w:pPr>
          </w:p>
        </w:tc>
      </w:tr>
      <w:tr w:rsidR="00592026" w14:paraId="5F3AA352" w14:textId="77777777" w:rsidTr="009E6CBA">
        <w:tc>
          <w:tcPr>
            <w:tcW w:w="896" w:type="dxa"/>
            <w:tcBorders>
              <w:left w:val="nil"/>
            </w:tcBorders>
          </w:tcPr>
          <w:p w14:paraId="1802A92F" w14:textId="028D21B9" w:rsidR="00592026" w:rsidRDefault="00592026" w:rsidP="00D12BBE">
            <w:pPr>
              <w:spacing w:before="100" w:beforeAutospacing="1" w:after="100" w:afterAutospacing="1"/>
              <w:jc w:val="center"/>
            </w:pPr>
          </w:p>
        </w:tc>
        <w:tc>
          <w:tcPr>
            <w:tcW w:w="2365" w:type="dxa"/>
          </w:tcPr>
          <w:p w14:paraId="39213010" w14:textId="65EE12B2" w:rsidR="00592026" w:rsidRDefault="00592026" w:rsidP="00D12BBE">
            <w:pPr>
              <w:spacing w:before="100" w:beforeAutospacing="1" w:after="100" w:afterAutospacing="1"/>
            </w:pPr>
          </w:p>
        </w:tc>
        <w:tc>
          <w:tcPr>
            <w:tcW w:w="5577" w:type="dxa"/>
            <w:tcBorders>
              <w:right w:val="nil"/>
            </w:tcBorders>
          </w:tcPr>
          <w:p w14:paraId="493DB44C" w14:textId="50D12534" w:rsidR="00592026" w:rsidRPr="000C3C9F" w:rsidRDefault="00592026" w:rsidP="00D12BBE">
            <w:pPr>
              <w:spacing w:before="100" w:beforeAutospacing="1" w:after="100" w:afterAutospacing="1"/>
            </w:pPr>
          </w:p>
        </w:tc>
      </w:tr>
      <w:tr w:rsidR="00CA4770" w14:paraId="7DF83BD9" w14:textId="77777777" w:rsidTr="009E6CBA">
        <w:tc>
          <w:tcPr>
            <w:tcW w:w="896" w:type="dxa"/>
            <w:tcBorders>
              <w:left w:val="nil"/>
            </w:tcBorders>
          </w:tcPr>
          <w:p w14:paraId="757ADF59" w14:textId="492CDA35" w:rsidR="00CA4770" w:rsidRDefault="00CA4770" w:rsidP="00D12BBE">
            <w:pPr>
              <w:spacing w:before="100" w:beforeAutospacing="1" w:after="100" w:afterAutospacing="1"/>
              <w:jc w:val="center"/>
            </w:pPr>
          </w:p>
        </w:tc>
        <w:tc>
          <w:tcPr>
            <w:tcW w:w="2365" w:type="dxa"/>
          </w:tcPr>
          <w:p w14:paraId="05D7403F" w14:textId="7950239B" w:rsidR="00CA4770" w:rsidRDefault="00CA4770" w:rsidP="00D12BBE">
            <w:pPr>
              <w:spacing w:before="100" w:beforeAutospacing="1" w:after="100" w:afterAutospacing="1"/>
            </w:pPr>
          </w:p>
        </w:tc>
        <w:tc>
          <w:tcPr>
            <w:tcW w:w="5577" w:type="dxa"/>
            <w:tcBorders>
              <w:right w:val="nil"/>
            </w:tcBorders>
          </w:tcPr>
          <w:p w14:paraId="2DC87333" w14:textId="7B5363E9" w:rsidR="00CA4770" w:rsidRDefault="00CA4770" w:rsidP="00D12BBE">
            <w:pPr>
              <w:spacing w:before="100" w:beforeAutospacing="1" w:after="100" w:afterAutospacing="1"/>
            </w:pPr>
          </w:p>
        </w:tc>
      </w:tr>
    </w:tbl>
    <w:p w14:paraId="673568D6" w14:textId="5ADD2AF1" w:rsidR="002C36CB" w:rsidRPr="002C36CB" w:rsidRDefault="002C36CB" w:rsidP="00D12BBE">
      <w:pPr>
        <w:spacing w:before="100" w:beforeAutospacing="1" w:after="100" w:afterAutospacing="1" w:line="240" w:lineRule="auto"/>
      </w:pPr>
      <w:r>
        <w:rPr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0272401"/>
        <w:docPartObj>
          <w:docPartGallery w:val="Table of Contents"/>
          <w:docPartUnique/>
        </w:docPartObj>
      </w:sdtPr>
      <w:sdtEndPr/>
      <w:sdtContent>
        <w:p w14:paraId="2613BB1D" w14:textId="3738912C" w:rsidR="00723A57" w:rsidRPr="00526BC2" w:rsidRDefault="00723A57" w:rsidP="00D12BBE">
          <w:pPr>
            <w:pStyle w:val="TtuloTDC"/>
            <w:spacing w:before="100" w:beforeAutospacing="1" w:after="100" w:afterAutospacing="1" w:line="240" w:lineRule="auto"/>
            <w:rPr>
              <w:b w:val="0"/>
              <w:bCs w:val="0"/>
              <w:color w:val="auto"/>
            </w:rPr>
          </w:pPr>
          <w:r w:rsidRPr="00526BC2">
            <w:rPr>
              <w:b w:val="0"/>
              <w:bCs w:val="0"/>
              <w:color w:val="auto"/>
            </w:rPr>
            <w:t>Tabla de contenido</w:t>
          </w:r>
        </w:p>
        <w:p w14:paraId="5AA165D9" w14:textId="005B633A" w:rsidR="005848AC" w:rsidRDefault="00723A5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L"/>
            </w:rPr>
          </w:pPr>
          <w:r w:rsidRPr="00526BC2">
            <w:rPr>
              <w:b w:val="0"/>
              <w:bCs w:val="0"/>
              <w:i w:val="0"/>
              <w:iCs w:val="0"/>
            </w:rPr>
            <w:fldChar w:fldCharType="begin"/>
          </w:r>
          <w:r w:rsidRPr="00526BC2">
            <w:rPr>
              <w:b w:val="0"/>
              <w:bCs w:val="0"/>
              <w:i w:val="0"/>
              <w:iCs w:val="0"/>
            </w:rPr>
            <w:instrText>TOC \o "1-3" \h \z \u</w:instrText>
          </w:r>
          <w:r w:rsidRPr="00526BC2">
            <w:rPr>
              <w:b w:val="0"/>
              <w:bCs w:val="0"/>
              <w:i w:val="0"/>
              <w:iCs w:val="0"/>
            </w:rPr>
            <w:fldChar w:fldCharType="separate"/>
          </w:r>
          <w:hyperlink w:anchor="_Toc185370858" w:history="1">
            <w:r w:rsidR="005848AC" w:rsidRPr="00E87060">
              <w:rPr>
                <w:rStyle w:val="Hipervnculo"/>
                <w:noProof/>
              </w:rPr>
              <w:t>1.</w:t>
            </w:r>
            <w:r w:rsidR="005848A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="005848AC" w:rsidRPr="00E87060">
              <w:rPr>
                <w:rStyle w:val="Hipervnculo"/>
                <w:noProof/>
              </w:rPr>
              <w:t>Objetivo</w:t>
            </w:r>
            <w:r w:rsidR="005848AC">
              <w:rPr>
                <w:noProof/>
                <w:webHidden/>
              </w:rPr>
              <w:tab/>
            </w:r>
            <w:r w:rsidR="005848AC">
              <w:rPr>
                <w:noProof/>
                <w:webHidden/>
              </w:rPr>
              <w:fldChar w:fldCharType="begin"/>
            </w:r>
            <w:r w:rsidR="005848AC">
              <w:rPr>
                <w:noProof/>
                <w:webHidden/>
              </w:rPr>
              <w:instrText xml:space="preserve"> PAGEREF _Toc185370858 \h </w:instrText>
            </w:r>
            <w:r w:rsidR="005848AC">
              <w:rPr>
                <w:noProof/>
                <w:webHidden/>
              </w:rPr>
            </w:r>
            <w:r w:rsidR="005848AC"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4</w:t>
            </w:r>
            <w:r w:rsidR="005848AC">
              <w:rPr>
                <w:noProof/>
                <w:webHidden/>
              </w:rPr>
              <w:fldChar w:fldCharType="end"/>
            </w:r>
          </w:hyperlink>
        </w:p>
        <w:p w14:paraId="7CCD0CBF" w14:textId="07989EE1" w:rsidR="005848AC" w:rsidRDefault="005848A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85370859" w:history="1">
            <w:r w:rsidRPr="00E87060">
              <w:rPr>
                <w:rStyle w:val="Hipervnculo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EF033" w14:textId="64DAD650" w:rsidR="005848AC" w:rsidRDefault="005848A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85370860" w:history="1">
            <w:r w:rsidRPr="00E87060">
              <w:rPr>
                <w:rStyle w:val="Hipervnculo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Definiciones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1B542" w14:textId="10F3A39D" w:rsidR="005848AC" w:rsidRDefault="005848A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85370861" w:history="1">
            <w:r w:rsidRPr="00E87060">
              <w:rPr>
                <w:rStyle w:val="Hipervnculo"/>
                <w:noProof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Descripción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391EB" w14:textId="244DD757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2" w:history="1">
            <w:r w:rsidRPr="00E87060">
              <w:rPr>
                <w:rStyle w:val="Hipervnculo"/>
                <w:noProof/>
              </w:rPr>
              <w:t>4.1.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Diagrama de Flujo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1E8C5" w14:textId="2AA34906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3" w:history="1">
            <w:r w:rsidRPr="00E87060">
              <w:rPr>
                <w:rStyle w:val="Hipervnculo"/>
                <w:noProof/>
              </w:rPr>
              <w:t>4.2.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Publicación de Decreto PNP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BA5E8" w14:textId="72FF9807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4" w:history="1">
            <w:r w:rsidRPr="00E87060">
              <w:rPr>
                <w:rStyle w:val="Hipervnculo"/>
                <w:noProof/>
              </w:rPr>
              <w:t>4.3.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Publicación Cuadro de Pagos de Saldos PEC.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8950A" w14:textId="67D8C8D3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5" w:history="1">
            <w:r w:rsidRPr="00E87060">
              <w:rPr>
                <w:rStyle w:val="Hipervnculo"/>
                <w:noProof/>
              </w:rPr>
              <w:t>4.4.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Prorrata semestral de distribución de pagos de Saldos PEC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A7FB8" w14:textId="65A8BD41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6" w:history="1">
            <w:r w:rsidRPr="00E87060">
              <w:rPr>
                <w:rStyle w:val="Hipervnculo"/>
                <w:noProof/>
              </w:rPr>
              <w:t>4.5.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Emisión de Facturas y Cesiones.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27C94" w14:textId="3A62AA06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7" w:history="1">
            <w:r w:rsidRPr="00E87060">
              <w:rPr>
                <w:rStyle w:val="Hipervnculo"/>
                <w:noProof/>
              </w:rPr>
              <w:t>4.6.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Emisión de Nómina de Pago de Saldos PEC.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1FF3A" w14:textId="7E240FE2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8" w:history="1">
            <w:r w:rsidRPr="00E87060">
              <w:rPr>
                <w:rStyle w:val="Hipervnculo"/>
                <w:noProof/>
              </w:rPr>
              <w:t>4.7.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Pago de Saldos PEC.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91628" w14:textId="486506E1" w:rsidR="005848AC" w:rsidRDefault="005848AC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lang w:eastAsia="es-CL"/>
            </w:rPr>
          </w:pPr>
          <w:hyperlink w:anchor="_Toc185370869" w:history="1">
            <w:r w:rsidRPr="00E87060">
              <w:rPr>
                <w:rStyle w:val="Hipervnculo"/>
                <w:noProof/>
              </w:rPr>
              <w:t>4.8.</w:t>
            </w:r>
            <w:r>
              <w:rPr>
                <w:rFonts w:eastAsiaTheme="minorEastAsia" w:cstheme="minorBidi"/>
                <w:b w:val="0"/>
                <w:bCs w:val="0"/>
                <w:noProof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Pago de las restantes cuotas del Cuadro de Pagos de Saldos PEC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3DE4F" w14:textId="4AF486B4" w:rsidR="005848AC" w:rsidRDefault="005848A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85370870" w:history="1">
            <w:r w:rsidRPr="00E87060">
              <w:rPr>
                <w:rStyle w:val="Hipervnculo"/>
                <w:noProof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E87060">
              <w:rPr>
                <w:rStyle w:val="Hipervnculo"/>
                <w:noProof/>
              </w:rPr>
              <w:t>Vigencia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_Toc185370870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4DF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E0473" w14:textId="79E47E79" w:rsidR="00723A57" w:rsidRPr="00A16D2C" w:rsidRDefault="00723A57" w:rsidP="00D12BBE">
          <w:pPr>
            <w:spacing w:before="100" w:beforeAutospacing="1" w:after="100" w:afterAutospacing="1" w:line="240" w:lineRule="auto"/>
          </w:pPr>
          <w:r w:rsidRPr="00526BC2">
            <w:fldChar w:fldCharType="end"/>
          </w:r>
        </w:p>
      </w:sdtContent>
    </w:sdt>
    <w:p w14:paraId="1E553E29" w14:textId="77777777" w:rsidR="00723A57" w:rsidRPr="00A16D2C" w:rsidRDefault="00F94B0C" w:rsidP="00D12BBE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A16D2C">
        <w:rPr>
          <w:rFonts w:cstheme="minorHAnsi"/>
          <w:sz w:val="28"/>
          <w:szCs w:val="28"/>
        </w:rPr>
        <w:br w:type="page"/>
      </w:r>
    </w:p>
    <w:p w14:paraId="17B5E7D0" w14:textId="0509E151" w:rsidR="00A85ADE" w:rsidRDefault="00A85ADE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3AC6183" w14:textId="77777777" w:rsidR="00D11F47" w:rsidRPr="00E35FB6" w:rsidRDefault="00D11F47" w:rsidP="00D12BBE">
      <w:pPr>
        <w:pStyle w:val="Ttulo1"/>
        <w:numPr>
          <w:ilvl w:val="0"/>
          <w:numId w:val="1"/>
        </w:numPr>
        <w:spacing w:before="100" w:beforeAutospacing="1" w:after="100" w:afterAutospacing="1" w:line="240" w:lineRule="auto"/>
        <w:ind w:left="708" w:hanging="708"/>
        <w:rPr>
          <w:b/>
          <w:bCs/>
          <w:color w:val="000000" w:themeColor="text1"/>
        </w:rPr>
      </w:pPr>
      <w:bookmarkStart w:id="0" w:name="_Toc185370858"/>
      <w:r w:rsidRPr="00E35FB6">
        <w:rPr>
          <w:b/>
          <w:bCs/>
          <w:color w:val="000000" w:themeColor="text1"/>
        </w:rPr>
        <w:t>Objetivo</w:t>
      </w:r>
      <w:bookmarkEnd w:id="0"/>
    </w:p>
    <w:p w14:paraId="0A21A82B" w14:textId="5891DC15" w:rsidR="00D11F47" w:rsidRPr="00DD6BD0" w:rsidRDefault="00D11F47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DD6BD0">
        <w:rPr>
          <w:rFonts w:cstheme="minorHAnsi"/>
        </w:rPr>
        <w:t xml:space="preserve">El objetivo de este </w:t>
      </w:r>
      <w:r w:rsidR="00F21F02" w:rsidRPr="00DD6BD0">
        <w:rPr>
          <w:rFonts w:cstheme="minorHAnsi"/>
        </w:rPr>
        <w:t>documento</w:t>
      </w:r>
      <w:r w:rsidRPr="00DD6BD0">
        <w:rPr>
          <w:rFonts w:cstheme="minorHAnsi"/>
        </w:rPr>
        <w:t xml:space="preserve"> es</w:t>
      </w:r>
      <w:r w:rsidR="0031622A" w:rsidRPr="00DD6BD0">
        <w:rPr>
          <w:rFonts w:cstheme="minorHAnsi"/>
        </w:rPr>
        <w:t xml:space="preserve"> establecer </w:t>
      </w:r>
      <w:r w:rsidR="007863D3">
        <w:rPr>
          <w:rFonts w:cstheme="minorHAnsi"/>
        </w:rPr>
        <w:t xml:space="preserve">el proceso a </w:t>
      </w:r>
      <w:r w:rsidR="00F860A2">
        <w:rPr>
          <w:rFonts w:cstheme="minorHAnsi"/>
        </w:rPr>
        <w:t xml:space="preserve">ejecutar </w:t>
      </w:r>
      <w:r w:rsidR="00120951">
        <w:rPr>
          <w:rFonts w:cstheme="minorHAnsi"/>
        </w:rPr>
        <w:t xml:space="preserve">para </w:t>
      </w:r>
      <w:r w:rsidR="00CB4369">
        <w:rPr>
          <w:rFonts w:cstheme="minorHAnsi"/>
        </w:rPr>
        <w:t xml:space="preserve">el pago de los Saldos PEC determinados en conformidad a la ley </w:t>
      </w:r>
      <w:proofErr w:type="spellStart"/>
      <w:r w:rsidR="00CB4369">
        <w:rPr>
          <w:rFonts w:cstheme="minorHAnsi"/>
        </w:rPr>
        <w:t>N°</w:t>
      </w:r>
      <w:proofErr w:type="spellEnd"/>
      <w:r w:rsidR="00CB4369">
        <w:rPr>
          <w:rFonts w:cstheme="minorHAnsi"/>
        </w:rPr>
        <w:t xml:space="preserve"> 21.185</w:t>
      </w:r>
      <w:r w:rsidR="00120951">
        <w:rPr>
          <w:rFonts w:cstheme="minorHAnsi"/>
        </w:rPr>
        <w:t xml:space="preserve">, </w:t>
      </w:r>
      <w:r w:rsidR="00EE4168">
        <w:rPr>
          <w:rFonts w:cstheme="minorHAnsi"/>
        </w:rPr>
        <w:t>de acuerdo con</w:t>
      </w:r>
      <w:r w:rsidR="001E13D3">
        <w:rPr>
          <w:rFonts w:cstheme="minorHAnsi"/>
        </w:rPr>
        <w:t xml:space="preserve"> lo </w:t>
      </w:r>
      <w:r w:rsidR="001C5335">
        <w:rPr>
          <w:rFonts w:cstheme="minorHAnsi"/>
        </w:rPr>
        <w:t>indicado</w:t>
      </w:r>
      <w:r w:rsidR="00120951">
        <w:rPr>
          <w:rFonts w:cstheme="minorHAnsi"/>
        </w:rPr>
        <w:t xml:space="preserve"> en e</w:t>
      </w:r>
      <w:r w:rsidR="002A430A">
        <w:rPr>
          <w:rFonts w:cstheme="minorHAnsi"/>
        </w:rPr>
        <w:t xml:space="preserve">l Art. 41 de las Res. </w:t>
      </w:r>
      <w:proofErr w:type="spellStart"/>
      <w:r w:rsidR="002A430A">
        <w:rPr>
          <w:rFonts w:cstheme="minorHAnsi"/>
        </w:rPr>
        <w:t>Exta</w:t>
      </w:r>
      <w:proofErr w:type="spellEnd"/>
      <w:r w:rsidR="002A430A">
        <w:rPr>
          <w:rFonts w:cstheme="minorHAnsi"/>
        </w:rPr>
        <w:t xml:space="preserve"> CNE </w:t>
      </w:r>
      <w:proofErr w:type="spellStart"/>
      <w:r w:rsidR="002A430A">
        <w:rPr>
          <w:rFonts w:cstheme="minorHAnsi"/>
        </w:rPr>
        <w:t>N°</w:t>
      </w:r>
      <w:proofErr w:type="spellEnd"/>
      <w:r w:rsidR="002A430A">
        <w:rPr>
          <w:rFonts w:cstheme="minorHAnsi"/>
        </w:rPr>
        <w:t xml:space="preserve"> 379-2024, </w:t>
      </w:r>
      <w:r w:rsidR="004568E7">
        <w:rPr>
          <w:rFonts w:cstheme="minorHAnsi"/>
        </w:rPr>
        <w:t>que</w:t>
      </w:r>
      <w:r w:rsidR="004568E7">
        <w:t xml:space="preserve"> </w:t>
      </w:r>
      <w:r w:rsidR="00BD6C9E">
        <w:t xml:space="preserve">establece disposiciones técnicas para la implementación de la ley </w:t>
      </w:r>
      <w:proofErr w:type="spellStart"/>
      <w:r w:rsidR="00A44F55">
        <w:t>N</w:t>
      </w:r>
      <w:r w:rsidR="001C5335">
        <w:t>°</w:t>
      </w:r>
      <w:proofErr w:type="spellEnd"/>
      <w:r w:rsidR="00BD6C9E">
        <w:t xml:space="preserve"> 21.472, modificada por la ley </w:t>
      </w:r>
      <w:proofErr w:type="spellStart"/>
      <w:r w:rsidR="00A44F55">
        <w:t>N</w:t>
      </w:r>
      <w:r w:rsidR="001C5335">
        <w:t>°</w:t>
      </w:r>
      <w:proofErr w:type="spellEnd"/>
      <w:r w:rsidR="00BD6C9E">
        <w:t xml:space="preserve"> 21.667</w:t>
      </w:r>
      <w:r w:rsidR="00BD6C9E" w:rsidRPr="00DD6BD0">
        <w:rPr>
          <w:rFonts w:cstheme="minorHAnsi"/>
        </w:rPr>
        <w:t>.</w:t>
      </w:r>
    </w:p>
    <w:p w14:paraId="6C121F9C" w14:textId="77777777" w:rsidR="00D11F47" w:rsidRPr="00E35FB6" w:rsidRDefault="00D11F47" w:rsidP="00D12BBE">
      <w:pPr>
        <w:pStyle w:val="Ttulo1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1" w:name="_Toc185370859"/>
      <w:r w:rsidRPr="00E35FB6">
        <w:rPr>
          <w:b/>
          <w:bCs/>
          <w:color w:val="000000" w:themeColor="text1"/>
        </w:rPr>
        <w:t>Alcance</w:t>
      </w:r>
      <w:bookmarkEnd w:id="1"/>
    </w:p>
    <w:p w14:paraId="29CC35AC" w14:textId="3C248ED1" w:rsidR="00516360" w:rsidRDefault="00286707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El proceso</w:t>
      </w:r>
      <w:r w:rsidR="00310AAD" w:rsidRPr="00234A55">
        <w:rPr>
          <w:rFonts w:cstheme="minorHAnsi"/>
        </w:rPr>
        <w:t xml:space="preserve"> desarrollad</w:t>
      </w:r>
      <w:r>
        <w:rPr>
          <w:rFonts w:cstheme="minorHAnsi"/>
        </w:rPr>
        <w:t>o</w:t>
      </w:r>
      <w:r w:rsidR="00310AAD" w:rsidRPr="00234A55">
        <w:rPr>
          <w:rFonts w:cstheme="minorHAnsi"/>
        </w:rPr>
        <w:t xml:space="preserve"> en este documento</w:t>
      </w:r>
      <w:r w:rsidR="00F001B1">
        <w:rPr>
          <w:rFonts w:cstheme="minorHAnsi"/>
        </w:rPr>
        <w:t>,</w:t>
      </w:r>
      <w:r w:rsidR="00310AAD" w:rsidRPr="00234A55">
        <w:rPr>
          <w:rFonts w:cstheme="minorHAnsi"/>
        </w:rPr>
        <w:t xml:space="preserve"> </w:t>
      </w:r>
      <w:r w:rsidR="00F4332E" w:rsidRPr="00234A55">
        <w:rPr>
          <w:rFonts w:cstheme="minorHAnsi"/>
        </w:rPr>
        <w:t xml:space="preserve">y sus resultados, </w:t>
      </w:r>
      <w:r w:rsidR="00310AAD" w:rsidRPr="00234A55">
        <w:rPr>
          <w:rFonts w:cstheme="minorHAnsi"/>
        </w:rPr>
        <w:t>aplica</w:t>
      </w:r>
      <w:r w:rsidR="00460CFE">
        <w:rPr>
          <w:rFonts w:cstheme="minorHAnsi"/>
        </w:rPr>
        <w:t>n</w:t>
      </w:r>
      <w:r w:rsidR="008455A9" w:rsidRPr="00234A55">
        <w:rPr>
          <w:rFonts w:cstheme="minorHAnsi"/>
        </w:rPr>
        <w:t xml:space="preserve"> </w:t>
      </w:r>
      <w:r w:rsidR="00310AAD" w:rsidRPr="00234A55">
        <w:rPr>
          <w:rFonts w:cstheme="minorHAnsi"/>
        </w:rPr>
        <w:t xml:space="preserve">a </w:t>
      </w:r>
      <w:r w:rsidR="00437EA6" w:rsidRPr="00234A55">
        <w:rPr>
          <w:rFonts w:cstheme="minorHAnsi"/>
        </w:rPr>
        <w:t>l</w:t>
      </w:r>
      <w:r>
        <w:rPr>
          <w:rFonts w:cstheme="minorHAnsi"/>
        </w:rPr>
        <w:t>a</w:t>
      </w:r>
      <w:r w:rsidR="00437EA6" w:rsidRPr="00234A55">
        <w:rPr>
          <w:rFonts w:cstheme="minorHAnsi"/>
        </w:rPr>
        <w:t>s</w:t>
      </w:r>
      <w:r w:rsidR="00310AAD" w:rsidRPr="00234A55">
        <w:rPr>
          <w:rFonts w:cstheme="minorHAnsi"/>
        </w:rPr>
        <w:t xml:space="preserve"> </w:t>
      </w:r>
      <w:r>
        <w:rPr>
          <w:rFonts w:cstheme="minorHAnsi"/>
        </w:rPr>
        <w:t>empresas c</w:t>
      </w:r>
      <w:r w:rsidR="00310AAD" w:rsidRPr="00234A55">
        <w:rPr>
          <w:rFonts w:cstheme="minorHAnsi"/>
        </w:rPr>
        <w:t>oordinad</w:t>
      </w:r>
      <w:r>
        <w:rPr>
          <w:rFonts w:cstheme="minorHAnsi"/>
        </w:rPr>
        <w:t>a</w:t>
      </w:r>
      <w:r w:rsidR="00310AAD" w:rsidRPr="00234A55">
        <w:rPr>
          <w:rFonts w:cstheme="minorHAnsi"/>
        </w:rPr>
        <w:t>s</w:t>
      </w:r>
      <w:r w:rsidR="00437EA6" w:rsidRPr="00234A55">
        <w:rPr>
          <w:rFonts w:cstheme="minorHAnsi"/>
        </w:rPr>
        <w:t xml:space="preserve"> </w:t>
      </w:r>
      <w:r w:rsidR="00DD2688">
        <w:rPr>
          <w:rFonts w:cstheme="minorHAnsi"/>
        </w:rPr>
        <w:t xml:space="preserve">distribuidoras y </w:t>
      </w:r>
      <w:r w:rsidR="004C444C">
        <w:rPr>
          <w:rFonts w:cstheme="minorHAnsi"/>
        </w:rPr>
        <w:t xml:space="preserve">generadoras </w:t>
      </w:r>
      <w:r>
        <w:rPr>
          <w:rFonts w:cstheme="minorHAnsi"/>
        </w:rPr>
        <w:t xml:space="preserve">que </w:t>
      </w:r>
      <w:r w:rsidR="00244792">
        <w:rPr>
          <w:rFonts w:cstheme="minorHAnsi"/>
        </w:rPr>
        <w:t>hayan sido</w:t>
      </w:r>
      <w:r>
        <w:rPr>
          <w:rFonts w:cstheme="minorHAnsi"/>
        </w:rPr>
        <w:t xml:space="preserve"> suministradoras </w:t>
      </w:r>
      <w:r w:rsidR="00244792">
        <w:rPr>
          <w:rFonts w:cstheme="minorHAnsi"/>
        </w:rPr>
        <w:t>de empresas distribuidoras</w:t>
      </w:r>
      <w:r w:rsidR="006357F6">
        <w:rPr>
          <w:rFonts w:cstheme="minorHAnsi"/>
        </w:rPr>
        <w:t xml:space="preserve">, y deban recibir el pago de </w:t>
      </w:r>
      <w:r w:rsidR="007E2EC6">
        <w:rPr>
          <w:rFonts w:cstheme="minorHAnsi"/>
        </w:rPr>
        <w:t xml:space="preserve">los denominados </w:t>
      </w:r>
      <w:r w:rsidR="006357F6">
        <w:rPr>
          <w:rFonts w:cstheme="minorHAnsi"/>
        </w:rPr>
        <w:t>Saldos PEC</w:t>
      </w:r>
      <w:r w:rsidR="007E2EC6">
        <w:rPr>
          <w:rFonts w:cstheme="minorHAnsi"/>
        </w:rPr>
        <w:t xml:space="preserve"> a que </w:t>
      </w:r>
      <w:r w:rsidR="004C444C">
        <w:rPr>
          <w:rFonts w:cstheme="minorHAnsi"/>
        </w:rPr>
        <w:t xml:space="preserve">se </w:t>
      </w:r>
      <w:r w:rsidR="007E2EC6">
        <w:rPr>
          <w:rFonts w:cstheme="minorHAnsi"/>
        </w:rPr>
        <w:t xml:space="preserve">refiere la ley </w:t>
      </w:r>
      <w:proofErr w:type="spellStart"/>
      <w:r w:rsidR="007E2EC6">
        <w:rPr>
          <w:rFonts w:cstheme="minorHAnsi"/>
        </w:rPr>
        <w:t>N°</w:t>
      </w:r>
      <w:proofErr w:type="spellEnd"/>
      <w:r w:rsidR="00516360">
        <w:rPr>
          <w:rFonts w:cstheme="minorHAnsi"/>
        </w:rPr>
        <w:t xml:space="preserve"> 21.185.</w:t>
      </w:r>
    </w:p>
    <w:p w14:paraId="438B9C3E" w14:textId="4E3C7B0F" w:rsidR="006F7054" w:rsidRDefault="006F7054" w:rsidP="00D12BBE">
      <w:pPr>
        <w:pStyle w:val="Ttulo1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2" w:name="_Toc185370860"/>
      <w:r>
        <w:rPr>
          <w:b/>
          <w:bCs/>
          <w:color w:val="000000" w:themeColor="text1"/>
        </w:rPr>
        <w:t>Definiciones</w:t>
      </w:r>
      <w:bookmarkEnd w:id="2"/>
    </w:p>
    <w:p w14:paraId="026C1FA4" w14:textId="616C0C65" w:rsidR="004E44F3" w:rsidRDefault="004E44F3" w:rsidP="00D12BBE">
      <w:pPr>
        <w:spacing w:before="100" w:beforeAutospacing="1" w:after="100" w:afterAutospacing="1" w:line="240" w:lineRule="auto"/>
        <w:jc w:val="both"/>
      </w:pPr>
      <w:r w:rsidRPr="004E44F3">
        <w:t xml:space="preserve">Para efectos de la aplicación de este </w:t>
      </w:r>
      <w:r w:rsidR="006835A9">
        <w:t>instructivo</w:t>
      </w:r>
      <w:r w:rsidRPr="004E44F3">
        <w:t>, las siguientes definiciones tendrán el significado que se indica a continuación:</w:t>
      </w:r>
    </w:p>
    <w:p w14:paraId="66795F5E" w14:textId="205E010E" w:rsidR="0062700B" w:rsidRDefault="0062700B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Cesionario: </w:t>
      </w:r>
      <w:r w:rsidR="00481E3D">
        <w:t xml:space="preserve">Empresa a la cual </w:t>
      </w:r>
      <w:r w:rsidR="003F4A5A">
        <w:t xml:space="preserve">un Suministrador ha cedido total o parcialmente los </w:t>
      </w:r>
      <w:r w:rsidR="00DE7592">
        <w:t xml:space="preserve">pagos de </w:t>
      </w:r>
      <w:r w:rsidR="003F4A5A">
        <w:t>Saldos PEC</w:t>
      </w:r>
      <w:r w:rsidR="00DE7592">
        <w:t xml:space="preserve"> reconocidos en los correspondientes Decretos PNP</w:t>
      </w:r>
      <w:r w:rsidR="004D64A5">
        <w:t>.</w:t>
      </w:r>
    </w:p>
    <w:p w14:paraId="79AE4A4C" w14:textId="37FFAC14" w:rsidR="00D53A90" w:rsidRDefault="00D53A90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D53A90">
        <w:t>C</w:t>
      </w:r>
      <w:r>
        <w:t>NE</w:t>
      </w:r>
      <w:r w:rsidRPr="00D53A90">
        <w:t>: Comisión Nacional de Energía.</w:t>
      </w:r>
    </w:p>
    <w:p w14:paraId="42A918CE" w14:textId="56D3D11A" w:rsidR="00D53A90" w:rsidRDefault="00B44348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Contrato: Contrato de suministro de energía para el servicio público de distribución a que se refiere el inciso primero del artículo 7º de la Ley Eléctrica, suscrito entre las Distribuidoras y sus Suministradores.</w:t>
      </w:r>
    </w:p>
    <w:p w14:paraId="6A0653F9" w14:textId="700A9E38" w:rsidR="00B44348" w:rsidRDefault="001845A0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Coordinador: Coordinador Independiente del Sistema Eléctrico Nacional, de acuerdo con lo establecido en el artículo 212º-1 de la Ley Eléctrica.</w:t>
      </w:r>
    </w:p>
    <w:p w14:paraId="77C92F96" w14:textId="5A951C30" w:rsidR="0062700B" w:rsidRDefault="0062700B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Decretos PNP: Decretos dictados semestralmente por el Ministerio de Energía, que fijan los precios de nudo promedio a que se refiere el artículo 158º la Ley Eléctrica.</w:t>
      </w:r>
    </w:p>
    <w:p w14:paraId="27EBABAC" w14:textId="23223267" w:rsidR="001112FC" w:rsidRDefault="001112FC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1112FC">
        <w:t>Distribuidoras: Concesionarias de servicio público de distribución.</w:t>
      </w:r>
    </w:p>
    <w:p w14:paraId="17AC16D1" w14:textId="2A844756" w:rsidR="00D81F3D" w:rsidRDefault="00D81F3D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FET: Fondo de Estabilización de Tarifas </w:t>
      </w:r>
      <w:r w:rsidR="00CB6C1B">
        <w:t xml:space="preserve">establecido en la ley </w:t>
      </w:r>
      <w:proofErr w:type="spellStart"/>
      <w:r w:rsidR="00CB6C1B">
        <w:t>N°</w:t>
      </w:r>
      <w:proofErr w:type="spellEnd"/>
      <w:r w:rsidR="00CB6C1B">
        <w:t xml:space="preserve"> 21.472.</w:t>
      </w:r>
    </w:p>
    <w:p w14:paraId="48FC67E6" w14:textId="4CE1B6BB" w:rsidR="001112FC" w:rsidRDefault="001112FC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TGR: Tesorer</w:t>
      </w:r>
      <w:r w:rsidR="00264382">
        <w:t>ía General de la República.</w:t>
      </w:r>
    </w:p>
    <w:p w14:paraId="79946488" w14:textId="722FFFA9" w:rsidR="00264382" w:rsidRDefault="00B85DF5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Resolución </w:t>
      </w:r>
      <w:proofErr w:type="spellStart"/>
      <w:r>
        <w:t>N°</w:t>
      </w:r>
      <w:proofErr w:type="spellEnd"/>
      <w:r>
        <w:t xml:space="preserve"> </w:t>
      </w:r>
      <w:r w:rsidR="006A01EC">
        <w:t xml:space="preserve">379:  </w:t>
      </w:r>
      <w:r w:rsidR="00A96FEA">
        <w:t xml:space="preserve">Resolución </w:t>
      </w:r>
      <w:r w:rsidR="00C07ADA">
        <w:t>E</w:t>
      </w:r>
      <w:r w:rsidR="00A96FEA">
        <w:t xml:space="preserve">xenta </w:t>
      </w:r>
      <w:proofErr w:type="spellStart"/>
      <w:r w:rsidR="0082190B">
        <w:t>N</w:t>
      </w:r>
      <w:r w:rsidR="00A96FEA">
        <w:t>°</w:t>
      </w:r>
      <w:proofErr w:type="spellEnd"/>
      <w:r w:rsidR="00A96FEA">
        <w:t xml:space="preserve"> 379 de la CNE, de 2024, que modifica resolución </w:t>
      </w:r>
      <w:proofErr w:type="spellStart"/>
      <w:r w:rsidR="00A96FEA">
        <w:t>N</w:t>
      </w:r>
      <w:r w:rsidR="0082190B">
        <w:t>°</w:t>
      </w:r>
      <w:proofErr w:type="spellEnd"/>
      <w:r w:rsidR="00A96FEA">
        <w:t xml:space="preserve"> 334 exenta, de 27 de julio de 2023, de la </w:t>
      </w:r>
      <w:r w:rsidR="00C07ADA">
        <w:t>C</w:t>
      </w:r>
      <w:r w:rsidR="00A96FEA">
        <w:t xml:space="preserve">omisión </w:t>
      </w:r>
      <w:r w:rsidR="00C07ADA">
        <w:t>N</w:t>
      </w:r>
      <w:r w:rsidR="00A96FEA">
        <w:t xml:space="preserve">acional de </w:t>
      </w:r>
      <w:r w:rsidR="00C07ADA">
        <w:t>E</w:t>
      </w:r>
      <w:r w:rsidR="00A96FEA">
        <w:t xml:space="preserve">nergía, y fija texto refundido de la resolución que establece disposiciones técnicas para la implementación de la </w:t>
      </w:r>
      <w:r w:rsidR="00D937E2">
        <w:t>l</w:t>
      </w:r>
      <w:r w:rsidR="00A96FEA">
        <w:t xml:space="preserve">ey </w:t>
      </w:r>
      <w:proofErr w:type="spellStart"/>
      <w:r w:rsidR="00C07ADA">
        <w:t>N°</w:t>
      </w:r>
      <w:proofErr w:type="spellEnd"/>
      <w:r w:rsidR="00A96FEA">
        <w:t xml:space="preserve"> 21.472, modificada por la ley </w:t>
      </w:r>
      <w:proofErr w:type="spellStart"/>
      <w:r w:rsidR="0082190B">
        <w:t>N°</w:t>
      </w:r>
      <w:proofErr w:type="spellEnd"/>
      <w:r w:rsidR="00A96FEA">
        <w:t xml:space="preserve"> 21.667.</w:t>
      </w:r>
    </w:p>
    <w:p w14:paraId="5ABBDD81" w14:textId="32C2C433" w:rsidR="00A96FEA" w:rsidRDefault="00000554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Saldos PEC: Contabilización de saldos de cada Contrato bajo el régimen de la ley </w:t>
      </w:r>
      <w:proofErr w:type="spellStart"/>
      <w:r>
        <w:t>N°</w:t>
      </w:r>
      <w:proofErr w:type="spellEnd"/>
      <w:r>
        <w:t xml:space="preserve"> 21.185.</w:t>
      </w:r>
    </w:p>
    <w:p w14:paraId="1B28CE9C" w14:textId="3ADDA197" w:rsidR="009B1A23" w:rsidRDefault="009B1A23" w:rsidP="009B1A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Sistema de Correspondencia: Plataforma de Correspondencia habilitado entre el Coordinador y las empresas coordinadas.</w:t>
      </w:r>
    </w:p>
    <w:p w14:paraId="5BF507EF" w14:textId="64CCAD7F" w:rsidR="00000554" w:rsidRDefault="00066EA6" w:rsidP="00D12BB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Suministrador: Empresas de generación que abastecen los consumos de clientes sometidos a regulación de precios de una Distribuidora en virtud de un contrato de suministro suscrito con dicha Distribuidora.</w:t>
      </w:r>
    </w:p>
    <w:p w14:paraId="784D2B86" w14:textId="754BDA54" w:rsidR="006F7054" w:rsidRDefault="006F7054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7A03CAAA" w14:textId="7E82C939" w:rsidR="000F1594" w:rsidRDefault="000F1594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7A6E9E71" w14:textId="77777777" w:rsidR="000F1594" w:rsidRPr="00986B8E" w:rsidRDefault="000F1594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p w14:paraId="5BB7993D" w14:textId="35E4F445" w:rsidR="00387D91" w:rsidRPr="00E35FB6" w:rsidRDefault="00387D91" w:rsidP="00D12BBE">
      <w:pPr>
        <w:pStyle w:val="Ttulo1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3" w:name="_Toc185370861"/>
      <w:r w:rsidRPr="00E35FB6">
        <w:rPr>
          <w:b/>
          <w:bCs/>
          <w:color w:val="000000" w:themeColor="text1"/>
        </w:rPr>
        <w:t>Descripción del Proceso</w:t>
      </w:r>
      <w:bookmarkEnd w:id="3"/>
    </w:p>
    <w:p w14:paraId="2B7BB8CF" w14:textId="5FAB5DD8" w:rsidR="00CA5681" w:rsidRDefault="0082570A" w:rsidP="00DC76EC">
      <w:pPr>
        <w:spacing w:before="100" w:beforeAutospacing="1" w:after="100" w:afterAutospacing="1" w:line="240" w:lineRule="auto"/>
        <w:jc w:val="both"/>
      </w:pPr>
      <w:r>
        <w:t xml:space="preserve">En esta sección, se describe el proceso </w:t>
      </w:r>
      <w:r w:rsidR="00530CD0">
        <w:t xml:space="preserve">a ejecutar en cada oportunidad en que un Decreto PNP establezca la ocurrencia de </w:t>
      </w:r>
      <w:r w:rsidR="002E162D">
        <w:t>pagos de Saldos PEC.</w:t>
      </w:r>
    </w:p>
    <w:p w14:paraId="68319C8D" w14:textId="45D139A3" w:rsidR="00852155" w:rsidRPr="00E35FB6" w:rsidRDefault="00852155" w:rsidP="00DC76EC">
      <w:pPr>
        <w:spacing w:before="100" w:beforeAutospacing="1" w:after="100" w:afterAutospacing="1" w:line="240" w:lineRule="auto"/>
        <w:jc w:val="both"/>
      </w:pPr>
      <w:r>
        <w:t xml:space="preserve">Se indican las características y plazos </w:t>
      </w:r>
      <w:r w:rsidR="008834B4">
        <w:t xml:space="preserve">(en días hábiles) </w:t>
      </w:r>
      <w:r w:rsidR="00B04397">
        <w:t xml:space="preserve">de cada </w:t>
      </w:r>
      <w:r w:rsidR="00AA0DFD">
        <w:t xml:space="preserve">uno de los agentes involucrados en este proceso, y que permitan cumplir con el cronograma establecido en la </w:t>
      </w:r>
      <w:r w:rsidR="00DC76EC">
        <w:t xml:space="preserve">Resolución </w:t>
      </w:r>
      <w:proofErr w:type="spellStart"/>
      <w:r w:rsidR="00DC76EC">
        <w:t>N°</w:t>
      </w:r>
      <w:proofErr w:type="spellEnd"/>
      <w:r w:rsidR="00DC76EC">
        <w:t xml:space="preserve"> 379.</w:t>
      </w:r>
    </w:p>
    <w:p w14:paraId="5EBDE3D7" w14:textId="02572885" w:rsidR="00387D91" w:rsidRPr="00E35FB6" w:rsidRDefault="00387D91" w:rsidP="00D12BBE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4" w:name="_Toc185370862"/>
      <w:r w:rsidRPr="00E35FB6">
        <w:rPr>
          <w:b/>
          <w:bCs/>
          <w:color w:val="000000" w:themeColor="text1"/>
        </w:rPr>
        <w:t>Diagrama de Flujo del Proceso</w:t>
      </w:r>
      <w:bookmarkEnd w:id="4"/>
    </w:p>
    <w:p w14:paraId="70B66687" w14:textId="4B979ED4" w:rsidR="007F28E7" w:rsidRDefault="00512644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234A55">
        <w:rPr>
          <w:rFonts w:cstheme="minorHAnsi"/>
        </w:rPr>
        <w:t xml:space="preserve">La siguiente figura describe de manera </w:t>
      </w:r>
      <w:r w:rsidR="005947EB">
        <w:rPr>
          <w:rFonts w:cstheme="minorHAnsi"/>
        </w:rPr>
        <w:t>secuencial</w:t>
      </w:r>
      <w:r w:rsidRPr="00234A55">
        <w:rPr>
          <w:rFonts w:cstheme="minorHAnsi"/>
        </w:rPr>
        <w:t xml:space="preserve"> el proceso </w:t>
      </w:r>
      <w:r w:rsidR="00A170AC" w:rsidRPr="00234A55">
        <w:rPr>
          <w:rFonts w:cstheme="minorHAnsi"/>
        </w:rPr>
        <w:t xml:space="preserve">de </w:t>
      </w:r>
      <w:r w:rsidR="005947EB">
        <w:rPr>
          <w:rFonts w:cstheme="minorHAnsi"/>
        </w:rPr>
        <w:t>pago de Saldos PEC</w:t>
      </w:r>
      <w:r w:rsidR="002936C0">
        <w:rPr>
          <w:rFonts w:cstheme="minorHAnsi"/>
        </w:rPr>
        <w:t>:</w:t>
      </w:r>
    </w:p>
    <w:p w14:paraId="6A92E34C" w14:textId="262E6EF5" w:rsidR="000F31FF" w:rsidRPr="00E35FB6" w:rsidRDefault="00C1524D" w:rsidP="00D12BBE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C1524D">
        <w:rPr>
          <w:noProof/>
        </w:rPr>
        <w:drawing>
          <wp:inline distT="0" distB="0" distL="0" distR="0" wp14:anchorId="5E636F9D" wp14:editId="78E0AFE6">
            <wp:extent cx="5612130" cy="2751455"/>
            <wp:effectExtent l="19050" t="19050" r="26670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1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1EA84E" w14:textId="378F4321" w:rsidR="005D26FD" w:rsidRPr="00E35FB6" w:rsidRDefault="0017669A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440A16">
        <w:rPr>
          <w:rFonts w:cstheme="minorHAnsi"/>
          <w:b/>
          <w:bCs/>
          <w:sz w:val="18"/>
          <w:szCs w:val="18"/>
        </w:rPr>
        <w:t>Figura 1:</w:t>
      </w:r>
      <w:r w:rsidRPr="00440A16">
        <w:rPr>
          <w:rFonts w:cstheme="minorHAnsi"/>
          <w:sz w:val="18"/>
          <w:szCs w:val="18"/>
        </w:rPr>
        <w:t xml:space="preserve"> Diagrama simplificado de </w:t>
      </w:r>
      <w:r w:rsidR="00747873">
        <w:rPr>
          <w:rFonts w:cstheme="minorHAnsi"/>
          <w:sz w:val="18"/>
          <w:szCs w:val="18"/>
        </w:rPr>
        <w:t>proceso</w:t>
      </w:r>
      <w:r w:rsidRPr="00440A16">
        <w:rPr>
          <w:rFonts w:cstheme="minorHAnsi"/>
          <w:sz w:val="18"/>
          <w:szCs w:val="18"/>
        </w:rPr>
        <w:t xml:space="preserve"> de </w:t>
      </w:r>
      <w:r w:rsidR="005947EB">
        <w:rPr>
          <w:rFonts w:cstheme="minorHAnsi"/>
          <w:sz w:val="18"/>
          <w:szCs w:val="18"/>
        </w:rPr>
        <w:t>pago de Saldos PEC.</w:t>
      </w:r>
    </w:p>
    <w:p w14:paraId="663F42D0" w14:textId="77777777" w:rsidR="007C4D79" w:rsidRDefault="00DC2201" w:rsidP="003477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El proceso se ejecuta semestralmente</w:t>
      </w:r>
      <w:r w:rsidR="002936C0">
        <w:rPr>
          <w:rFonts w:cstheme="minorHAnsi"/>
        </w:rPr>
        <w:t xml:space="preserve">, e inicia con la </w:t>
      </w:r>
      <w:r w:rsidR="00C3052E">
        <w:rPr>
          <w:rFonts w:cstheme="minorHAnsi"/>
        </w:rPr>
        <w:t>elaboración</w:t>
      </w:r>
      <w:r w:rsidR="002936C0">
        <w:rPr>
          <w:rFonts w:cstheme="minorHAnsi"/>
        </w:rPr>
        <w:t xml:space="preserve"> del Decreto PNP respectivo por parte de la CNE.</w:t>
      </w:r>
      <w:r w:rsidR="009231DF">
        <w:rPr>
          <w:rFonts w:cstheme="minorHAnsi"/>
        </w:rPr>
        <w:t xml:space="preserve"> </w:t>
      </w:r>
    </w:p>
    <w:p w14:paraId="3DFD4FEA" w14:textId="2755C9E6" w:rsidR="007C4D79" w:rsidRDefault="007C4D79" w:rsidP="003477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Cronológicamente, los principales hitos</w:t>
      </w:r>
      <w:r w:rsidR="00C441FB">
        <w:rPr>
          <w:rFonts w:cstheme="minorHAnsi"/>
        </w:rPr>
        <w:t>, en términos de días hábiles,</w:t>
      </w:r>
      <w:r>
        <w:rPr>
          <w:rFonts w:cstheme="minorHAnsi"/>
        </w:rPr>
        <w:t xml:space="preserve"> son:</w:t>
      </w:r>
    </w:p>
    <w:p w14:paraId="6A159ADB" w14:textId="7BC7F1C7" w:rsidR="007C4D79" w:rsidRDefault="00B45328" w:rsidP="00B4532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022DBC">
        <w:rPr>
          <w:rFonts w:cstheme="minorHAnsi"/>
          <w:b/>
          <w:bCs/>
        </w:rPr>
        <w:t>Día 0</w:t>
      </w:r>
      <w:r>
        <w:rPr>
          <w:rFonts w:cstheme="minorHAnsi"/>
        </w:rPr>
        <w:t>: Publicación de</w:t>
      </w:r>
      <w:r w:rsidR="00B53A52">
        <w:rPr>
          <w:rFonts w:cstheme="minorHAnsi"/>
        </w:rPr>
        <w:t>l</w:t>
      </w:r>
      <w:r w:rsidR="0082778B">
        <w:rPr>
          <w:rFonts w:cstheme="minorHAnsi"/>
        </w:rPr>
        <w:t xml:space="preserve"> </w:t>
      </w:r>
      <w:r>
        <w:rPr>
          <w:rFonts w:cstheme="minorHAnsi"/>
        </w:rPr>
        <w:t>Decreto PNP</w:t>
      </w:r>
      <w:r w:rsidR="00852F34">
        <w:rPr>
          <w:rFonts w:cstheme="minorHAnsi"/>
        </w:rPr>
        <w:t xml:space="preserve"> por parte del Ministerio de Energía</w:t>
      </w:r>
      <w:r w:rsidR="009603A9">
        <w:rPr>
          <w:rFonts w:cstheme="minorHAnsi"/>
        </w:rPr>
        <w:t xml:space="preserve">, precedido </w:t>
      </w:r>
      <w:r w:rsidR="007E7675">
        <w:rPr>
          <w:rFonts w:cstheme="minorHAnsi"/>
        </w:rPr>
        <w:t xml:space="preserve">por el Informe Técnico </w:t>
      </w:r>
      <w:r w:rsidR="00A52DC9">
        <w:rPr>
          <w:rFonts w:cstheme="minorHAnsi"/>
        </w:rPr>
        <w:t xml:space="preserve">Definitivo </w:t>
      </w:r>
      <w:r w:rsidR="00B12026">
        <w:rPr>
          <w:rFonts w:cstheme="minorHAnsi"/>
        </w:rPr>
        <w:t>elaborado por CNE</w:t>
      </w:r>
      <w:r w:rsidR="00FE7976">
        <w:rPr>
          <w:rFonts w:cstheme="minorHAnsi"/>
        </w:rPr>
        <w:t xml:space="preserve">. Este informe establece el monto </w:t>
      </w:r>
      <w:r w:rsidR="00057BF9">
        <w:rPr>
          <w:rFonts w:cstheme="minorHAnsi"/>
        </w:rPr>
        <w:t>de pagos de Saldos PEC a ejecutar durante el respectivo semestre.</w:t>
      </w:r>
    </w:p>
    <w:p w14:paraId="3149F81B" w14:textId="297A143A" w:rsidR="00057BF9" w:rsidRDefault="00D15991" w:rsidP="00B4532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022DBC">
        <w:rPr>
          <w:rFonts w:cstheme="minorHAnsi"/>
          <w:b/>
          <w:bCs/>
        </w:rPr>
        <w:t>Día 5</w:t>
      </w:r>
      <w:r>
        <w:rPr>
          <w:rFonts w:cstheme="minorHAnsi"/>
        </w:rPr>
        <w:t xml:space="preserve">: El Coordinador emite el </w:t>
      </w:r>
      <w:r w:rsidR="00795B7E">
        <w:rPr>
          <w:rFonts w:cstheme="minorHAnsi"/>
        </w:rPr>
        <w:t>“</w:t>
      </w:r>
      <w:r>
        <w:rPr>
          <w:rFonts w:cstheme="minorHAnsi"/>
        </w:rPr>
        <w:t>Cuadro de Pago</w:t>
      </w:r>
      <w:r w:rsidR="00795B7E">
        <w:rPr>
          <w:rFonts w:cstheme="minorHAnsi"/>
        </w:rPr>
        <w:t xml:space="preserve"> de Saldos PEC”, en </w:t>
      </w:r>
      <w:r w:rsidR="007E7A49">
        <w:rPr>
          <w:rFonts w:cstheme="minorHAnsi"/>
        </w:rPr>
        <w:t>base</w:t>
      </w:r>
      <w:r w:rsidR="00795B7E">
        <w:rPr>
          <w:rFonts w:cstheme="minorHAnsi"/>
        </w:rPr>
        <w:t xml:space="preserve"> </w:t>
      </w:r>
      <w:r w:rsidR="007F094A">
        <w:rPr>
          <w:rFonts w:cstheme="minorHAnsi"/>
        </w:rPr>
        <w:t xml:space="preserve">a lo establecido en el Decreto PNP correspondiente. </w:t>
      </w:r>
      <w:r w:rsidR="00C7419B">
        <w:rPr>
          <w:rFonts w:cstheme="minorHAnsi"/>
        </w:rPr>
        <w:t xml:space="preserve">Son montos en dólares, </w:t>
      </w:r>
      <w:r w:rsidR="00DC4710">
        <w:rPr>
          <w:rFonts w:cstheme="minorHAnsi"/>
        </w:rPr>
        <w:t>divididos en 6 cuotas mensuales iguales</w:t>
      </w:r>
      <w:r w:rsidR="00B2083C">
        <w:rPr>
          <w:rFonts w:cstheme="minorHAnsi"/>
        </w:rPr>
        <w:t>.</w:t>
      </w:r>
    </w:p>
    <w:p w14:paraId="7D816ABC" w14:textId="748E11BB" w:rsidR="00022DBC" w:rsidRDefault="007E7A49" w:rsidP="004B6D6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022DBC">
        <w:rPr>
          <w:rFonts w:cstheme="minorHAnsi"/>
          <w:b/>
          <w:bCs/>
        </w:rPr>
        <w:lastRenderedPageBreak/>
        <w:t>Día 6</w:t>
      </w:r>
      <w:r>
        <w:rPr>
          <w:rFonts w:cstheme="minorHAnsi"/>
        </w:rPr>
        <w:t xml:space="preserve">: Plazo límite para </w:t>
      </w:r>
      <w:r w:rsidR="00001C7C">
        <w:rPr>
          <w:rFonts w:cstheme="minorHAnsi"/>
        </w:rPr>
        <w:t xml:space="preserve">que los suministradores </w:t>
      </w:r>
      <w:r w:rsidR="008C1E91">
        <w:rPr>
          <w:rFonts w:cstheme="minorHAnsi"/>
        </w:rPr>
        <w:t>env</w:t>
      </w:r>
      <w:r w:rsidR="00001C7C">
        <w:rPr>
          <w:rFonts w:cstheme="minorHAnsi"/>
        </w:rPr>
        <w:t>íen</w:t>
      </w:r>
      <w:r w:rsidR="008C1E91">
        <w:rPr>
          <w:rFonts w:cstheme="minorHAnsi"/>
        </w:rPr>
        <w:t xml:space="preserve"> </w:t>
      </w:r>
      <w:r w:rsidR="00001C7C">
        <w:rPr>
          <w:rFonts w:cstheme="minorHAnsi"/>
        </w:rPr>
        <w:t>a las distribuidoras y al Coor</w:t>
      </w:r>
      <w:r w:rsidR="00BD2797">
        <w:rPr>
          <w:rFonts w:cstheme="minorHAnsi"/>
        </w:rPr>
        <w:t xml:space="preserve">dinador, </w:t>
      </w:r>
      <w:r w:rsidR="008C1E91">
        <w:rPr>
          <w:rFonts w:cstheme="minorHAnsi"/>
        </w:rPr>
        <w:t xml:space="preserve">información </w:t>
      </w:r>
      <w:r w:rsidR="0081318E">
        <w:rPr>
          <w:rFonts w:cstheme="minorHAnsi"/>
        </w:rPr>
        <w:t>administrativa y prorratas de distribución de pagos de Saldos PEC</w:t>
      </w:r>
      <w:r w:rsidR="00001C7C">
        <w:rPr>
          <w:rFonts w:cstheme="minorHAnsi"/>
        </w:rPr>
        <w:t>.</w:t>
      </w:r>
    </w:p>
    <w:p w14:paraId="0CE85869" w14:textId="10C62A90" w:rsidR="00AB094B" w:rsidRDefault="00022DBC" w:rsidP="000E094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AA07CA">
        <w:rPr>
          <w:rFonts w:cstheme="minorHAnsi"/>
          <w:b/>
          <w:bCs/>
        </w:rPr>
        <w:t>Día 8</w:t>
      </w:r>
      <w:r w:rsidRPr="00FC0D5D">
        <w:rPr>
          <w:rFonts w:cstheme="minorHAnsi"/>
        </w:rPr>
        <w:t xml:space="preserve">: </w:t>
      </w:r>
      <w:r w:rsidR="00A0124C" w:rsidRPr="00FC0D5D">
        <w:rPr>
          <w:rFonts w:cstheme="minorHAnsi"/>
        </w:rPr>
        <w:t xml:space="preserve">Suministradores emiten facturas </w:t>
      </w:r>
      <w:r w:rsidR="00C92D06" w:rsidRPr="00FC0D5D">
        <w:rPr>
          <w:rFonts w:cstheme="minorHAnsi"/>
        </w:rPr>
        <w:t>a empresas distribuidoras</w:t>
      </w:r>
      <w:r w:rsidR="00FC0D5D" w:rsidRPr="00FC0D5D">
        <w:rPr>
          <w:rFonts w:cstheme="minorHAnsi"/>
        </w:rPr>
        <w:t xml:space="preserve">, e informan </w:t>
      </w:r>
      <w:r w:rsidR="0013371B" w:rsidRPr="00FC0D5D">
        <w:rPr>
          <w:rFonts w:cstheme="minorHAnsi"/>
        </w:rPr>
        <w:t xml:space="preserve">al Coordinador </w:t>
      </w:r>
      <w:r w:rsidR="005F1EF9" w:rsidRPr="00FC0D5D">
        <w:rPr>
          <w:rFonts w:cstheme="minorHAnsi"/>
        </w:rPr>
        <w:t>el resultado de la</w:t>
      </w:r>
      <w:r w:rsidR="00B07803">
        <w:rPr>
          <w:rFonts w:cstheme="minorHAnsi"/>
        </w:rPr>
        <w:t>s correspondientes</w:t>
      </w:r>
      <w:r w:rsidR="005F1EF9" w:rsidRPr="00FC0D5D">
        <w:rPr>
          <w:rFonts w:cstheme="minorHAnsi"/>
        </w:rPr>
        <w:t xml:space="preserve"> </w:t>
      </w:r>
      <w:r w:rsidR="00B07803">
        <w:rPr>
          <w:rFonts w:cstheme="minorHAnsi"/>
        </w:rPr>
        <w:t>c</w:t>
      </w:r>
      <w:r w:rsidR="005F1EF9" w:rsidRPr="00FC0D5D">
        <w:rPr>
          <w:rFonts w:cstheme="minorHAnsi"/>
        </w:rPr>
        <w:t>esi</w:t>
      </w:r>
      <w:r w:rsidR="00B07803">
        <w:rPr>
          <w:rFonts w:cstheme="minorHAnsi"/>
        </w:rPr>
        <w:t>o</w:t>
      </w:r>
      <w:r w:rsidR="005F1EF9" w:rsidRPr="00FC0D5D">
        <w:rPr>
          <w:rFonts w:cstheme="minorHAnsi"/>
        </w:rPr>
        <w:t>n</w:t>
      </w:r>
      <w:r w:rsidR="00B07803">
        <w:rPr>
          <w:rFonts w:cstheme="minorHAnsi"/>
        </w:rPr>
        <w:t>es</w:t>
      </w:r>
      <w:r w:rsidR="005F1EF9" w:rsidRPr="00FC0D5D">
        <w:rPr>
          <w:rFonts w:cstheme="minorHAnsi"/>
        </w:rPr>
        <w:t xml:space="preserve"> de </w:t>
      </w:r>
      <w:r w:rsidR="00B07803">
        <w:rPr>
          <w:rFonts w:cstheme="minorHAnsi"/>
        </w:rPr>
        <w:t>f</w:t>
      </w:r>
      <w:r w:rsidR="005F1EF9" w:rsidRPr="00FC0D5D">
        <w:rPr>
          <w:rFonts w:cstheme="minorHAnsi"/>
        </w:rPr>
        <w:t>acturas</w:t>
      </w:r>
      <w:r w:rsidR="00B07803">
        <w:rPr>
          <w:rFonts w:cstheme="minorHAnsi"/>
        </w:rPr>
        <w:t>.</w:t>
      </w:r>
    </w:p>
    <w:p w14:paraId="56590922" w14:textId="6A7368B4" w:rsidR="00CD1B33" w:rsidRDefault="00CD1B33" w:rsidP="000E094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AA07CA">
        <w:rPr>
          <w:rFonts w:cstheme="minorHAnsi"/>
          <w:b/>
          <w:bCs/>
        </w:rPr>
        <w:t>Día 9</w:t>
      </w:r>
      <w:r>
        <w:rPr>
          <w:rFonts w:cstheme="minorHAnsi"/>
        </w:rPr>
        <w:t>: El Coordinador verifica la consistencia de la información recibida.</w:t>
      </w:r>
    </w:p>
    <w:p w14:paraId="47D2D817" w14:textId="46116D67" w:rsidR="00CD1B33" w:rsidRDefault="00CD1B33" w:rsidP="000E094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AA07CA">
        <w:rPr>
          <w:rFonts w:cstheme="minorHAnsi"/>
          <w:b/>
          <w:bCs/>
        </w:rPr>
        <w:t>Día 10</w:t>
      </w:r>
      <w:r>
        <w:rPr>
          <w:rFonts w:cstheme="minorHAnsi"/>
        </w:rPr>
        <w:t xml:space="preserve">: </w:t>
      </w:r>
      <w:r w:rsidR="009774B5">
        <w:rPr>
          <w:rFonts w:cstheme="minorHAnsi"/>
        </w:rPr>
        <w:t>El Coordinador comunica a TGR</w:t>
      </w:r>
      <w:r w:rsidR="00A25F6E">
        <w:rPr>
          <w:rFonts w:cstheme="minorHAnsi"/>
        </w:rPr>
        <w:t xml:space="preserve"> la Nómina de Pago de Saldos PEC </w:t>
      </w:r>
      <w:r w:rsidR="00F42AED">
        <w:rPr>
          <w:rFonts w:cstheme="minorHAnsi"/>
        </w:rPr>
        <w:t xml:space="preserve">correctamente </w:t>
      </w:r>
      <w:r w:rsidR="00A25F6E">
        <w:rPr>
          <w:rFonts w:cstheme="minorHAnsi"/>
        </w:rPr>
        <w:t>verificados.</w:t>
      </w:r>
    </w:p>
    <w:p w14:paraId="58E82BD7" w14:textId="51E41380" w:rsidR="00F42AED" w:rsidRPr="00FC0D5D" w:rsidRDefault="00F42AED" w:rsidP="000E094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AA07CA">
        <w:rPr>
          <w:rFonts w:cstheme="minorHAnsi"/>
          <w:b/>
          <w:bCs/>
        </w:rPr>
        <w:t>Día 11</w:t>
      </w:r>
      <w:r>
        <w:rPr>
          <w:rFonts w:cstheme="minorHAnsi"/>
        </w:rPr>
        <w:t xml:space="preserve">: </w:t>
      </w:r>
      <w:r w:rsidRPr="0047501F">
        <w:rPr>
          <w:rFonts w:cstheme="minorHAnsi"/>
        </w:rPr>
        <w:t>TGR</w:t>
      </w:r>
      <w:r w:rsidR="00BC735E" w:rsidRPr="0047501F">
        <w:rPr>
          <w:rFonts w:cstheme="minorHAnsi"/>
        </w:rPr>
        <w:t xml:space="preserve">, con cargo al FET y </w:t>
      </w:r>
      <w:r w:rsidR="00C13BD5" w:rsidRPr="0047501F">
        <w:rPr>
          <w:rFonts w:cstheme="minorHAnsi"/>
        </w:rPr>
        <w:t xml:space="preserve">en representación de </w:t>
      </w:r>
      <w:r w:rsidR="00443AF1" w:rsidRPr="0047501F">
        <w:rPr>
          <w:rFonts w:cstheme="minorHAnsi"/>
        </w:rPr>
        <w:t>las distr</w:t>
      </w:r>
      <w:r w:rsidR="00EF6D0A" w:rsidRPr="0047501F">
        <w:rPr>
          <w:rFonts w:cstheme="minorHAnsi"/>
        </w:rPr>
        <w:t>i</w:t>
      </w:r>
      <w:r w:rsidR="00443AF1" w:rsidRPr="0047501F">
        <w:rPr>
          <w:rFonts w:cstheme="minorHAnsi"/>
        </w:rPr>
        <w:t>buidoras,</w:t>
      </w:r>
      <w:r w:rsidRPr="0047501F">
        <w:rPr>
          <w:rFonts w:cstheme="minorHAnsi"/>
        </w:rPr>
        <w:t xml:space="preserve"> y las empresas distribuidoras</w:t>
      </w:r>
      <w:r w:rsidR="0047501F" w:rsidRPr="0047501F">
        <w:rPr>
          <w:rFonts w:cstheme="minorHAnsi"/>
        </w:rPr>
        <w:t>, en la proporción que corresponda,</w:t>
      </w:r>
      <w:r w:rsidRPr="0047501F">
        <w:rPr>
          <w:rFonts w:cstheme="minorHAnsi"/>
        </w:rPr>
        <w:t xml:space="preserve"> </w:t>
      </w:r>
      <w:r w:rsidR="00D222FA" w:rsidRPr="0047501F">
        <w:rPr>
          <w:rFonts w:cstheme="minorHAnsi"/>
        </w:rPr>
        <w:t xml:space="preserve">hacen efectivos los pagos </w:t>
      </w:r>
      <w:r w:rsidR="00ED058D" w:rsidRPr="0047501F">
        <w:rPr>
          <w:rFonts w:cstheme="minorHAnsi"/>
        </w:rPr>
        <w:t>a las respectivas empresas suministradoras y cesionarias.</w:t>
      </w:r>
    </w:p>
    <w:p w14:paraId="39DA903E" w14:textId="0ECCA532" w:rsidR="007C4D79" w:rsidRDefault="007522F2" w:rsidP="003477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 los siguientes capítulos se </w:t>
      </w:r>
      <w:r w:rsidR="00F647F0">
        <w:rPr>
          <w:rFonts w:cstheme="minorHAnsi"/>
        </w:rPr>
        <w:t>describirá</w:t>
      </w:r>
      <w:r w:rsidR="00F23C4D">
        <w:rPr>
          <w:rFonts w:cstheme="minorHAnsi"/>
        </w:rPr>
        <w:t>n</w:t>
      </w:r>
      <w:r w:rsidR="00F647F0">
        <w:rPr>
          <w:rFonts w:cstheme="minorHAnsi"/>
        </w:rPr>
        <w:t xml:space="preserve"> con mayor detalle </w:t>
      </w:r>
      <w:r w:rsidR="00C15092">
        <w:rPr>
          <w:rFonts w:cstheme="minorHAnsi"/>
        </w:rPr>
        <w:t>cada una de las etapas.</w:t>
      </w:r>
    </w:p>
    <w:p w14:paraId="5EB12BE1" w14:textId="10B18744" w:rsidR="007522F2" w:rsidRPr="00E35FB6" w:rsidRDefault="00C15092" w:rsidP="00453D40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5" w:name="_Toc185370863"/>
      <w:r>
        <w:rPr>
          <w:b/>
          <w:bCs/>
          <w:color w:val="000000" w:themeColor="text1"/>
        </w:rPr>
        <w:t>Publicación de Decreto PNP</w:t>
      </w:r>
      <w:bookmarkEnd w:id="5"/>
    </w:p>
    <w:p w14:paraId="731537DA" w14:textId="66A1D415" w:rsidR="005D2A66" w:rsidRDefault="00C15092" w:rsidP="003477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Respecto a la publicación </w:t>
      </w:r>
      <w:r w:rsidR="004407F4">
        <w:rPr>
          <w:rFonts w:cstheme="minorHAnsi"/>
        </w:rPr>
        <w:t>de los informes técnicos y Decreto PNP, l</w:t>
      </w:r>
      <w:r w:rsidR="00C3052E">
        <w:rPr>
          <w:rFonts w:cstheme="minorHAnsi"/>
        </w:rPr>
        <w:t xml:space="preserve">a Resolución </w:t>
      </w:r>
      <w:proofErr w:type="spellStart"/>
      <w:r w:rsidR="00C3052E">
        <w:rPr>
          <w:rFonts w:cstheme="minorHAnsi"/>
        </w:rPr>
        <w:t>N°</w:t>
      </w:r>
      <w:proofErr w:type="spellEnd"/>
      <w:r w:rsidR="00C3052E">
        <w:rPr>
          <w:rFonts w:cstheme="minorHAnsi"/>
        </w:rPr>
        <w:t xml:space="preserve"> </w:t>
      </w:r>
      <w:r w:rsidR="00BB5698">
        <w:rPr>
          <w:rFonts w:cstheme="minorHAnsi"/>
        </w:rPr>
        <w:t>3</w:t>
      </w:r>
      <w:r w:rsidR="00C3052E">
        <w:rPr>
          <w:rFonts w:cstheme="minorHAnsi"/>
        </w:rPr>
        <w:t>79 establece</w:t>
      </w:r>
      <w:r w:rsidR="0005730D">
        <w:rPr>
          <w:rFonts w:cstheme="minorHAnsi"/>
        </w:rPr>
        <w:t xml:space="preserve"> </w:t>
      </w:r>
      <w:r w:rsidR="004407F4">
        <w:rPr>
          <w:rFonts w:cstheme="minorHAnsi"/>
        </w:rPr>
        <w:t xml:space="preserve">lo </w:t>
      </w:r>
      <w:r w:rsidR="0087298D">
        <w:rPr>
          <w:rFonts w:cstheme="minorHAnsi"/>
        </w:rPr>
        <w:t>siguiente</w:t>
      </w:r>
      <w:r w:rsidR="00C3052E">
        <w:rPr>
          <w:rFonts w:cstheme="minorHAnsi"/>
        </w:rPr>
        <w:t>:</w:t>
      </w:r>
    </w:p>
    <w:p w14:paraId="768BDD46" w14:textId="356D8166" w:rsidR="002936C0" w:rsidRPr="00D85BE3" w:rsidRDefault="003477D6" w:rsidP="005D2A6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5D2A66">
        <w:rPr>
          <w:rFonts w:cstheme="minorHAnsi"/>
        </w:rPr>
        <w:t>Los Decretos PNP semestrales deberán detallar los Saldos PEC totales acumulados de cada Contrato, en dólares de los Estados Unidos de América, identificando la Distribuidora y el Suministrador del respectivo contrato.</w:t>
      </w:r>
    </w:p>
    <w:p w14:paraId="70209243" w14:textId="77777777" w:rsidR="00D85BE3" w:rsidRPr="00C3052E" w:rsidRDefault="00D85BE3" w:rsidP="00D85BE3">
      <w:pPr>
        <w:pStyle w:val="Prrafodelista"/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</w:p>
    <w:p w14:paraId="3D38129A" w14:textId="2B265F62" w:rsidR="00C3052E" w:rsidRDefault="002B08F5" w:rsidP="00D0199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>
        <w:t>Los informes técnicos preliminares, hasta el año 2027, determinarán los montos de pago de los Saldos PEC para dicho período</w:t>
      </w:r>
      <w:r w:rsidR="00766771">
        <w:t>. En cada período tarifario semestral de los años señalados se establecerá el pago de una fracción del monto total adeudado de los Saldos PEC, de modo</w:t>
      </w:r>
      <w:r w:rsidR="00234DF9">
        <w:t xml:space="preserve"> de</w:t>
      </w:r>
      <w:r w:rsidR="00766771">
        <w:t xml:space="preserve"> completar el pago del monto total a más tardar el 31 de diciembre de 2027.</w:t>
      </w:r>
      <w:r w:rsidR="004846C5">
        <w:t xml:space="preserve"> El mínimo monto de pago de Saldos PEC de cada semestre corresponderá a 100 millones de dólares, con excepción del año 2024.</w:t>
      </w:r>
    </w:p>
    <w:p w14:paraId="0D8886E9" w14:textId="77777777" w:rsidR="00E06575" w:rsidRDefault="00E06575" w:rsidP="00E06575">
      <w:pPr>
        <w:pStyle w:val="Prrafodelista"/>
      </w:pPr>
    </w:p>
    <w:p w14:paraId="40E7893C" w14:textId="35F41D4F" w:rsidR="00E06575" w:rsidRDefault="00E06575" w:rsidP="00BB073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>
        <w:t>El monto total de pago será distribuido entre los diferentes Contratos a prorrata de los Saldos PEC adeudados. Los montos asignados de esta manera</w:t>
      </w:r>
      <w:r w:rsidR="00F31EEE">
        <w:t>, los cuales se informan netos de IVA,</w:t>
      </w:r>
      <w:r>
        <w:t xml:space="preserve"> serán pagados por las</w:t>
      </w:r>
      <w:r w:rsidR="008843EF">
        <w:t xml:space="preserve"> </w:t>
      </w:r>
      <w:r>
        <w:t>Distribuidoras a sus Suministradores, o en el caso de verificarse una cesión, a sus cesionarios. El</w:t>
      </w:r>
      <w:r w:rsidR="008843EF">
        <w:t xml:space="preserve"> </w:t>
      </w:r>
      <w:r>
        <w:t>pago a cada Suministrador</w:t>
      </w:r>
      <w:r w:rsidR="00234DF9">
        <w:t>,</w:t>
      </w:r>
      <w:r>
        <w:t xml:space="preserve"> de acuerdo </w:t>
      </w:r>
      <w:r w:rsidR="00234DF9">
        <w:t>con</w:t>
      </w:r>
      <w:r>
        <w:t xml:space="preserve"> lo señalado anteriormente</w:t>
      </w:r>
      <w:r w:rsidR="00234DF9">
        <w:t>,</w:t>
      </w:r>
      <w:r>
        <w:t xml:space="preserve"> deberá irse imputando al pago</w:t>
      </w:r>
      <w:r w:rsidR="008843EF">
        <w:t xml:space="preserve"> </w:t>
      </w:r>
      <w:r>
        <w:t xml:space="preserve">de </w:t>
      </w:r>
      <w:r w:rsidR="00234DF9">
        <w:t>s</w:t>
      </w:r>
      <w:r>
        <w:t>aldos de manera cronológica, pagándose de los Saldos PEC más antiguos a los más nuevos.</w:t>
      </w:r>
    </w:p>
    <w:p w14:paraId="2DAB3FF0" w14:textId="77777777" w:rsidR="00FA5A3B" w:rsidRPr="00E35FB6" w:rsidRDefault="00FA5A3B" w:rsidP="00FA5A3B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6" w:name="_Toc185370864"/>
      <w:r>
        <w:rPr>
          <w:b/>
          <w:bCs/>
          <w:color w:val="000000" w:themeColor="text1"/>
        </w:rPr>
        <w:t>Publicación Cuadro de Pagos de Saldos PEC.</w:t>
      </w:r>
      <w:bookmarkEnd w:id="6"/>
    </w:p>
    <w:p w14:paraId="1DC0A8A4" w14:textId="7EED6DDE" w:rsidR="00FA5A3B" w:rsidRDefault="00FA5A3B" w:rsidP="00FA5A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A más tardar</w:t>
      </w:r>
      <w:r w:rsidR="00234DF9">
        <w:rPr>
          <w:rFonts w:cstheme="minorHAnsi"/>
        </w:rPr>
        <w:t>,</w:t>
      </w:r>
      <w:r>
        <w:rPr>
          <w:rFonts w:cstheme="minorHAnsi"/>
        </w:rPr>
        <w:t xml:space="preserve"> el quinto día hábil posterior a la publicación del Decreto PNP, el Coordinador </w:t>
      </w:r>
      <w:r w:rsidR="00F27F1B">
        <w:rPr>
          <w:rFonts w:cstheme="minorHAnsi"/>
        </w:rPr>
        <w:t xml:space="preserve">deberá </w:t>
      </w:r>
      <w:r>
        <w:rPr>
          <w:rFonts w:cstheme="minorHAnsi"/>
        </w:rPr>
        <w:t xml:space="preserve">comunicar el </w:t>
      </w:r>
      <w:r w:rsidRPr="00805F5F">
        <w:rPr>
          <w:rFonts w:cstheme="minorHAnsi"/>
        </w:rPr>
        <w:t>Cuadro de Pago de</w:t>
      </w:r>
      <w:r>
        <w:rPr>
          <w:rFonts w:cstheme="minorHAnsi"/>
        </w:rPr>
        <w:t xml:space="preserve"> </w:t>
      </w:r>
      <w:r w:rsidRPr="00805F5F">
        <w:rPr>
          <w:rFonts w:cstheme="minorHAnsi"/>
        </w:rPr>
        <w:t>Saldos PEC</w:t>
      </w:r>
      <w:r>
        <w:rPr>
          <w:rFonts w:cstheme="minorHAnsi"/>
        </w:rPr>
        <w:t xml:space="preserve"> </w:t>
      </w:r>
      <w:r w:rsidRPr="00D14616">
        <w:rPr>
          <w:rFonts w:cstheme="minorHAnsi"/>
        </w:rPr>
        <w:t>en base a lo establecido en el Decreto PNP correspondiente.</w:t>
      </w:r>
      <w:r>
        <w:rPr>
          <w:rFonts w:cstheme="minorHAnsi"/>
        </w:rPr>
        <w:t xml:space="preserve"> Este cuadro establece</w:t>
      </w:r>
      <w:r w:rsidR="00234DF9">
        <w:rPr>
          <w:rFonts w:cstheme="minorHAnsi"/>
        </w:rPr>
        <w:t>rá</w:t>
      </w:r>
      <w:r>
        <w:rPr>
          <w:rFonts w:cstheme="minorHAnsi"/>
        </w:rPr>
        <w:t xml:space="preserve"> los montos a pagar por las empresas distribuidoras a las empresas suministradoras</w:t>
      </w:r>
      <w:r w:rsidR="00F23C4D">
        <w:rPr>
          <w:rFonts w:cstheme="minorHAnsi"/>
        </w:rPr>
        <w:t xml:space="preserve">, y será informado </w:t>
      </w:r>
      <w:r w:rsidR="002260A0">
        <w:rPr>
          <w:rFonts w:cstheme="minorHAnsi"/>
        </w:rPr>
        <w:t>a las empresas coordinadas mediante</w:t>
      </w:r>
      <w:r w:rsidR="00F23C4D">
        <w:rPr>
          <w:rFonts w:cstheme="minorHAnsi"/>
        </w:rPr>
        <w:t xml:space="preserve"> </w:t>
      </w:r>
      <w:r w:rsidR="002260A0">
        <w:rPr>
          <w:rFonts w:cstheme="minorHAnsi"/>
        </w:rPr>
        <w:t xml:space="preserve">el </w:t>
      </w:r>
      <w:r w:rsidR="00312BE3">
        <w:rPr>
          <w:rFonts w:cstheme="minorHAnsi"/>
        </w:rPr>
        <w:t>S</w:t>
      </w:r>
      <w:r w:rsidR="002260A0">
        <w:rPr>
          <w:rFonts w:cstheme="minorHAnsi"/>
        </w:rPr>
        <w:t xml:space="preserve">istema de </w:t>
      </w:r>
      <w:r w:rsidR="00F23C4D">
        <w:rPr>
          <w:rFonts w:cstheme="minorHAnsi"/>
        </w:rPr>
        <w:t xml:space="preserve">Correspondencia y </w:t>
      </w:r>
      <w:r w:rsidR="002260A0">
        <w:rPr>
          <w:rFonts w:cstheme="minorHAnsi"/>
        </w:rPr>
        <w:t>publicado en la página web.</w:t>
      </w:r>
    </w:p>
    <w:p w14:paraId="031255E0" w14:textId="77777777" w:rsidR="00FA5A3B" w:rsidRDefault="00FA5A3B" w:rsidP="00FA5A3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 este cuadro, los valores se informan </w:t>
      </w:r>
      <w:r w:rsidRPr="00D14616">
        <w:rPr>
          <w:rFonts w:cstheme="minorHAnsi"/>
        </w:rPr>
        <w:t xml:space="preserve">en dólares, </w:t>
      </w:r>
      <w:r>
        <w:rPr>
          <w:rFonts w:cstheme="minorHAnsi"/>
        </w:rPr>
        <w:t xml:space="preserve">y </w:t>
      </w:r>
      <w:r w:rsidRPr="00D14616">
        <w:rPr>
          <w:rFonts w:cstheme="minorHAnsi"/>
        </w:rPr>
        <w:t>divididos en 6 cuotas mensuales iguales.</w:t>
      </w:r>
    </w:p>
    <w:p w14:paraId="2087D418" w14:textId="2F0C1C5C" w:rsidR="00892321" w:rsidRPr="00E35FB6" w:rsidRDefault="00892321" w:rsidP="00F23C4D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7" w:name="_Toc185370865"/>
      <w:r>
        <w:rPr>
          <w:b/>
          <w:bCs/>
          <w:color w:val="000000" w:themeColor="text1"/>
        </w:rPr>
        <w:lastRenderedPageBreak/>
        <w:t xml:space="preserve">Prorrata semestral </w:t>
      </w:r>
      <w:r w:rsidR="0002630C">
        <w:rPr>
          <w:b/>
          <w:bCs/>
          <w:color w:val="000000" w:themeColor="text1"/>
        </w:rPr>
        <w:t>de distribución de pagos de Saldos PEC</w:t>
      </w:r>
      <w:bookmarkEnd w:id="7"/>
    </w:p>
    <w:p w14:paraId="75AA9D63" w14:textId="1F8CECAB" w:rsidR="004B6D63" w:rsidRPr="001D46BB" w:rsidRDefault="0002630C" w:rsidP="001D46B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1D46BB">
        <w:rPr>
          <w:rFonts w:cstheme="minorHAnsi"/>
        </w:rPr>
        <w:t>A más tardar</w:t>
      </w:r>
      <w:r w:rsidR="00234DF9">
        <w:rPr>
          <w:rFonts w:cstheme="minorHAnsi"/>
        </w:rPr>
        <w:t>,</w:t>
      </w:r>
      <w:r w:rsidR="004B6D63" w:rsidRPr="001D46BB">
        <w:rPr>
          <w:rFonts w:cstheme="minorHAnsi"/>
        </w:rPr>
        <w:t xml:space="preserve"> </w:t>
      </w:r>
      <w:r w:rsidR="00D701B5">
        <w:rPr>
          <w:rFonts w:cstheme="minorHAnsi"/>
        </w:rPr>
        <w:t xml:space="preserve">un </w:t>
      </w:r>
      <w:r w:rsidR="004B6D63" w:rsidRPr="001D46BB">
        <w:rPr>
          <w:rFonts w:cstheme="minorHAnsi"/>
        </w:rPr>
        <w:t>día hábil posterior a la publicación</w:t>
      </w:r>
      <w:r w:rsidR="00234DF9">
        <w:rPr>
          <w:rFonts w:cstheme="minorHAnsi"/>
        </w:rPr>
        <w:t xml:space="preserve"> </w:t>
      </w:r>
      <w:r w:rsidR="000E259B">
        <w:rPr>
          <w:rFonts w:cstheme="minorHAnsi"/>
        </w:rPr>
        <w:t>por parte del</w:t>
      </w:r>
      <w:r w:rsidR="00234DF9">
        <w:rPr>
          <w:rFonts w:cstheme="minorHAnsi"/>
        </w:rPr>
        <w:t xml:space="preserve"> Coordinador</w:t>
      </w:r>
      <w:r w:rsidR="004B6D63" w:rsidRPr="001D46BB">
        <w:rPr>
          <w:rFonts w:cstheme="minorHAnsi"/>
        </w:rPr>
        <w:t xml:space="preserve"> del </w:t>
      </w:r>
      <w:r w:rsidR="007B5EEA">
        <w:rPr>
          <w:rFonts w:cstheme="minorHAnsi"/>
        </w:rPr>
        <w:t>Cuadro de Pa</w:t>
      </w:r>
      <w:r w:rsidR="000B0885">
        <w:rPr>
          <w:rFonts w:cstheme="minorHAnsi"/>
        </w:rPr>
        <w:t>go de Saldos PEC</w:t>
      </w:r>
      <w:r w:rsidR="004B6D63" w:rsidRPr="001D46BB">
        <w:rPr>
          <w:rFonts w:cstheme="minorHAnsi"/>
        </w:rPr>
        <w:t>, las empresas suministradoras inform</w:t>
      </w:r>
      <w:r w:rsidR="008C1E91" w:rsidRPr="001D46BB">
        <w:rPr>
          <w:rFonts w:cstheme="minorHAnsi"/>
        </w:rPr>
        <w:t>arán</w:t>
      </w:r>
      <w:r w:rsidR="004B6D63" w:rsidRPr="001D46BB">
        <w:rPr>
          <w:rFonts w:cstheme="minorHAnsi"/>
        </w:rPr>
        <w:t xml:space="preserve"> a las </w:t>
      </w:r>
      <w:r w:rsidR="00271B7F">
        <w:rPr>
          <w:rFonts w:cstheme="minorHAnsi"/>
        </w:rPr>
        <w:t>empresas d</w:t>
      </w:r>
      <w:r w:rsidR="004B6D63" w:rsidRPr="001D46BB">
        <w:rPr>
          <w:rFonts w:cstheme="minorHAnsi"/>
        </w:rPr>
        <w:t>istribuidoras y al Coordinador, los siguientes antecedentes en el formato definido:</w:t>
      </w:r>
    </w:p>
    <w:p w14:paraId="2D64CC83" w14:textId="77777777" w:rsidR="004B6D63" w:rsidRDefault="004B6D63" w:rsidP="00AD32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Información administrativa de los destinatarios de los pagos (RUT, Razón Social, Cuenta Corriente, personas de contacto).</w:t>
      </w:r>
    </w:p>
    <w:p w14:paraId="4D177173" w14:textId="4F4065C1" w:rsidR="0086120E" w:rsidRPr="0086120E" w:rsidRDefault="000E259B" w:rsidP="0086120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CC3B0B">
        <w:rPr>
          <w:rFonts w:cstheme="minorHAnsi"/>
        </w:rPr>
        <w:t>opia de los documentos</w:t>
      </w:r>
      <w:r>
        <w:rPr>
          <w:rFonts w:cstheme="minorHAnsi"/>
        </w:rPr>
        <w:t>, en aquellos casos que corresponda,</w:t>
      </w:r>
      <w:r w:rsidR="00CC3B0B">
        <w:rPr>
          <w:rFonts w:cstheme="minorHAnsi"/>
        </w:rPr>
        <w:t xml:space="preserve"> donde conste la cesión de derechos</w:t>
      </w:r>
      <w:r w:rsidR="0086120E">
        <w:rPr>
          <w:rFonts w:cstheme="minorHAnsi"/>
        </w:rPr>
        <w:t xml:space="preserve">, </w:t>
      </w:r>
      <w:r w:rsidR="0086120E" w:rsidRPr="0086120E">
        <w:rPr>
          <w:rFonts w:cstheme="minorHAnsi"/>
        </w:rPr>
        <w:t xml:space="preserve">acompañados de archivo </w:t>
      </w:r>
      <w:r>
        <w:rPr>
          <w:rFonts w:cstheme="minorHAnsi"/>
        </w:rPr>
        <w:t>E</w:t>
      </w:r>
      <w:r w:rsidR="0086120E" w:rsidRPr="0086120E">
        <w:rPr>
          <w:rFonts w:cstheme="minorHAnsi"/>
        </w:rPr>
        <w:t xml:space="preserve">xcel con </w:t>
      </w:r>
      <w:r w:rsidR="004C0714">
        <w:rPr>
          <w:rFonts w:cstheme="minorHAnsi"/>
        </w:rPr>
        <w:t xml:space="preserve">aquella información </w:t>
      </w:r>
      <w:r w:rsidR="0086120E" w:rsidRPr="0086120E">
        <w:rPr>
          <w:rFonts w:cstheme="minorHAnsi"/>
        </w:rPr>
        <w:t xml:space="preserve">que la CNE haya </w:t>
      </w:r>
      <w:r w:rsidR="004C0714">
        <w:rPr>
          <w:rFonts w:cstheme="minorHAnsi"/>
        </w:rPr>
        <w:t xml:space="preserve">empleado para </w:t>
      </w:r>
      <w:r w:rsidR="0086120E" w:rsidRPr="0086120E">
        <w:rPr>
          <w:rFonts w:cstheme="minorHAnsi"/>
        </w:rPr>
        <w:t>determina</w:t>
      </w:r>
      <w:r w:rsidR="004C0714">
        <w:rPr>
          <w:rFonts w:cstheme="minorHAnsi"/>
        </w:rPr>
        <w:t>r</w:t>
      </w:r>
      <w:r w:rsidR="0086120E" w:rsidRPr="0086120E">
        <w:rPr>
          <w:rFonts w:cstheme="minorHAnsi"/>
        </w:rPr>
        <w:t xml:space="preserve"> los saldos semestrales bajo la ley </w:t>
      </w:r>
      <w:proofErr w:type="spellStart"/>
      <w:r w:rsidR="0086120E" w:rsidRPr="0086120E">
        <w:rPr>
          <w:rFonts w:cstheme="minorHAnsi"/>
        </w:rPr>
        <w:t>N°</w:t>
      </w:r>
      <w:proofErr w:type="spellEnd"/>
      <w:r w:rsidR="0086120E" w:rsidRPr="0086120E">
        <w:rPr>
          <w:rFonts w:cstheme="minorHAnsi"/>
        </w:rPr>
        <w:t xml:space="preserve"> 21.185 que se estén cediendo, complementado con información que identifique los saldos cedidos a nivel de contrato</w:t>
      </w:r>
      <w:r w:rsidR="00946A34">
        <w:rPr>
          <w:rFonts w:cstheme="minorHAnsi"/>
        </w:rPr>
        <w:t xml:space="preserve">, </w:t>
      </w:r>
      <w:r w:rsidR="0086120E" w:rsidRPr="0086120E">
        <w:rPr>
          <w:rFonts w:cstheme="minorHAnsi"/>
        </w:rPr>
        <w:t>agregando las siguientes columnas junto a cada contrato al que aplique:</w:t>
      </w:r>
    </w:p>
    <w:p w14:paraId="17682744" w14:textId="33BFD1CE" w:rsidR="0086120E" w:rsidRPr="0086120E" w:rsidRDefault="00FE0D69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86120E" w:rsidRPr="0086120E">
        <w:rPr>
          <w:rFonts w:cstheme="minorHAnsi"/>
        </w:rPr>
        <w:t>ombre cedente</w:t>
      </w:r>
    </w:p>
    <w:p w14:paraId="11B7110E" w14:textId="34A27BA6" w:rsidR="0086120E" w:rsidRPr="0086120E" w:rsidRDefault="0086120E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86120E">
        <w:rPr>
          <w:rFonts w:cstheme="minorHAnsi"/>
        </w:rPr>
        <w:t>RUT cedente</w:t>
      </w:r>
    </w:p>
    <w:p w14:paraId="37160627" w14:textId="4C6B7F70" w:rsidR="0086120E" w:rsidRPr="0086120E" w:rsidRDefault="00FE0D69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86120E" w:rsidRPr="0086120E">
        <w:rPr>
          <w:rFonts w:cstheme="minorHAnsi"/>
        </w:rPr>
        <w:t>ombre cesionario</w:t>
      </w:r>
    </w:p>
    <w:p w14:paraId="62F6C541" w14:textId="6475D321" w:rsidR="0086120E" w:rsidRPr="0086120E" w:rsidRDefault="0086120E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86120E">
        <w:rPr>
          <w:rFonts w:cstheme="minorHAnsi"/>
        </w:rPr>
        <w:t>RUT cesionario</w:t>
      </w:r>
    </w:p>
    <w:p w14:paraId="2FFA4C92" w14:textId="49D517D7" w:rsidR="0086120E" w:rsidRPr="0086120E" w:rsidRDefault="00FE0D69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86120E" w:rsidRPr="0086120E">
        <w:rPr>
          <w:rFonts w:cstheme="minorHAnsi"/>
        </w:rPr>
        <w:t>echa escritura cesión</w:t>
      </w:r>
    </w:p>
    <w:p w14:paraId="30583D7B" w14:textId="6DDB104B" w:rsidR="0086120E" w:rsidRPr="0086120E" w:rsidRDefault="00FE0D69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86120E" w:rsidRPr="0086120E">
        <w:rPr>
          <w:rFonts w:cstheme="minorHAnsi"/>
        </w:rPr>
        <w:t>otaría escritura cesión</w:t>
      </w:r>
    </w:p>
    <w:p w14:paraId="443B5340" w14:textId="0AAF9FBD" w:rsidR="0086120E" w:rsidRPr="0086120E" w:rsidRDefault="00FE0D69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Re</w:t>
      </w:r>
      <w:r w:rsidR="0086120E" w:rsidRPr="0086120E">
        <w:rPr>
          <w:rFonts w:cstheme="minorHAnsi"/>
        </w:rPr>
        <w:t>pertorio escritura cesión</w:t>
      </w:r>
    </w:p>
    <w:p w14:paraId="32F5A79A" w14:textId="62BBE996" w:rsidR="0086120E" w:rsidRPr="0086120E" w:rsidRDefault="00FE0D69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86120E" w:rsidRPr="0086120E">
        <w:rPr>
          <w:rFonts w:cstheme="minorHAnsi"/>
        </w:rPr>
        <w:t>nformación complementaria (</w:t>
      </w:r>
      <w:proofErr w:type="spellStart"/>
      <w:r w:rsidR="0086120E" w:rsidRPr="0086120E">
        <w:rPr>
          <w:rFonts w:cstheme="minorHAnsi"/>
        </w:rPr>
        <w:t>ej</w:t>
      </w:r>
      <w:proofErr w:type="spellEnd"/>
      <w:r w:rsidR="0086120E" w:rsidRPr="0086120E">
        <w:rPr>
          <w:rFonts w:cstheme="minorHAnsi"/>
        </w:rPr>
        <w:t>:  nombre del deudor o distribuidora al que se asocia en la escritura de cesión)</w:t>
      </w:r>
    </w:p>
    <w:p w14:paraId="02917AC3" w14:textId="714261D5" w:rsidR="00CC3B0B" w:rsidRDefault="00FC486B" w:rsidP="004352F1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86120E" w:rsidRPr="0086120E">
        <w:rPr>
          <w:rFonts w:cstheme="minorHAnsi"/>
        </w:rPr>
        <w:t>dentificación del saldo cedido</w:t>
      </w:r>
    </w:p>
    <w:p w14:paraId="0F0686A6" w14:textId="625DF4BD" w:rsidR="004B6D63" w:rsidRDefault="00291A2A" w:rsidP="00AD32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Las p</w:t>
      </w:r>
      <w:r w:rsidR="004B6D63">
        <w:rPr>
          <w:rFonts w:cstheme="minorHAnsi"/>
        </w:rPr>
        <w:t xml:space="preserve">rorratas de distribución de los pagos </w:t>
      </w:r>
      <w:r>
        <w:rPr>
          <w:rFonts w:cstheme="minorHAnsi"/>
        </w:rPr>
        <w:t xml:space="preserve">que </w:t>
      </w:r>
      <w:r w:rsidR="009B3EC5">
        <w:rPr>
          <w:rFonts w:cstheme="minorHAnsi"/>
        </w:rPr>
        <w:t xml:space="preserve">se ejecutarán en </w:t>
      </w:r>
      <w:r w:rsidR="004B6D63">
        <w:rPr>
          <w:rFonts w:cstheme="minorHAnsi"/>
        </w:rPr>
        <w:t>el semestre</w:t>
      </w:r>
      <w:r w:rsidR="009B3EC5">
        <w:rPr>
          <w:rFonts w:cstheme="minorHAnsi"/>
        </w:rPr>
        <w:t xml:space="preserve"> al que se refiere el Decreto PNP</w:t>
      </w:r>
      <w:r w:rsidR="004B6D63">
        <w:rPr>
          <w:rFonts w:cstheme="minorHAnsi"/>
        </w:rPr>
        <w:t>, informad</w:t>
      </w:r>
      <w:r w:rsidR="009B3EC5">
        <w:rPr>
          <w:rFonts w:cstheme="minorHAnsi"/>
        </w:rPr>
        <w:t>a</w:t>
      </w:r>
      <w:r w:rsidR="004B6D63">
        <w:rPr>
          <w:rFonts w:cstheme="minorHAnsi"/>
        </w:rPr>
        <w:t xml:space="preserve">s mediante una comunicación </w:t>
      </w:r>
      <w:r w:rsidR="00791A94">
        <w:rPr>
          <w:rFonts w:cstheme="minorHAnsi"/>
        </w:rPr>
        <w:t xml:space="preserve">suscrita </w:t>
      </w:r>
      <w:r w:rsidR="004B6D63">
        <w:rPr>
          <w:rFonts w:cstheme="minorHAnsi"/>
        </w:rPr>
        <w:t>conjunta</w:t>
      </w:r>
      <w:r w:rsidR="00791A94">
        <w:rPr>
          <w:rFonts w:cstheme="minorHAnsi"/>
        </w:rPr>
        <w:t>mente por las empresas</w:t>
      </w:r>
      <w:r w:rsidR="004B6D63">
        <w:rPr>
          <w:rFonts w:cstheme="minorHAnsi"/>
        </w:rPr>
        <w:t xml:space="preserve"> Suministrador</w:t>
      </w:r>
      <w:r w:rsidR="00791A94">
        <w:rPr>
          <w:rFonts w:cstheme="minorHAnsi"/>
        </w:rPr>
        <w:t>a</w:t>
      </w:r>
      <w:r w:rsidR="004B6D63">
        <w:rPr>
          <w:rFonts w:cstheme="minorHAnsi"/>
        </w:rPr>
        <w:t>s y Cesionari</w:t>
      </w:r>
      <w:r w:rsidR="00791A94">
        <w:rPr>
          <w:rFonts w:cstheme="minorHAnsi"/>
        </w:rPr>
        <w:t>a</w:t>
      </w:r>
      <w:r w:rsidR="004B6D63">
        <w:rPr>
          <w:rFonts w:cstheme="minorHAnsi"/>
        </w:rPr>
        <w:t>s.</w:t>
      </w:r>
    </w:p>
    <w:p w14:paraId="0868459B" w14:textId="158FC5CA" w:rsidR="004B6D63" w:rsidRDefault="004B6D63" w:rsidP="00AD32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Para el caso de Sistemas Medianos, </w:t>
      </w:r>
      <w:r w:rsidR="00791A94">
        <w:rPr>
          <w:rFonts w:cstheme="minorHAnsi"/>
        </w:rPr>
        <w:t xml:space="preserve">la </w:t>
      </w:r>
      <w:r>
        <w:rPr>
          <w:rFonts w:cstheme="minorHAnsi"/>
        </w:rPr>
        <w:t>prorrata de distribución de pagos entre suministradores, informada por el respectivo Comité Coordinador.</w:t>
      </w:r>
    </w:p>
    <w:p w14:paraId="48933B86" w14:textId="60674ADC" w:rsidR="0016736B" w:rsidRPr="00E35FB6" w:rsidRDefault="0016736B" w:rsidP="0016736B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8" w:name="_Toc185370866"/>
      <w:r>
        <w:rPr>
          <w:b/>
          <w:bCs/>
          <w:color w:val="000000" w:themeColor="text1"/>
        </w:rPr>
        <w:t>Emisión de Facturas y Cesiones</w:t>
      </w:r>
      <w:r w:rsidR="00B22656">
        <w:rPr>
          <w:b/>
          <w:bCs/>
          <w:color w:val="000000" w:themeColor="text1"/>
        </w:rPr>
        <w:t>.</w:t>
      </w:r>
      <w:bookmarkEnd w:id="8"/>
    </w:p>
    <w:p w14:paraId="3332DA09" w14:textId="76A2F201" w:rsidR="00B22656" w:rsidRDefault="00815FB5" w:rsidP="002523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1D46BB">
        <w:rPr>
          <w:rFonts w:cstheme="minorHAnsi"/>
        </w:rPr>
        <w:t>A más tardar</w:t>
      </w:r>
      <w:r w:rsidR="002E1B32">
        <w:rPr>
          <w:rFonts w:cstheme="minorHAnsi"/>
        </w:rPr>
        <w:t>,</w:t>
      </w:r>
      <w:r w:rsidRPr="001D46BB">
        <w:rPr>
          <w:rFonts w:cstheme="minorHAnsi"/>
        </w:rPr>
        <w:t xml:space="preserve"> </w:t>
      </w:r>
      <w:r>
        <w:rPr>
          <w:rFonts w:cstheme="minorHAnsi"/>
        </w:rPr>
        <w:t>e</w:t>
      </w:r>
      <w:r w:rsidR="0086289C">
        <w:rPr>
          <w:rFonts w:cstheme="minorHAnsi"/>
        </w:rPr>
        <w:t>l tercer</w:t>
      </w:r>
      <w:r>
        <w:rPr>
          <w:rFonts w:cstheme="minorHAnsi"/>
        </w:rPr>
        <w:t xml:space="preserve"> día</w:t>
      </w:r>
      <w:r w:rsidRPr="001D46BB">
        <w:rPr>
          <w:rFonts w:cstheme="minorHAnsi"/>
        </w:rPr>
        <w:t xml:space="preserve"> hábil posterior a la publicación del </w:t>
      </w:r>
      <w:r>
        <w:rPr>
          <w:rFonts w:cstheme="minorHAnsi"/>
        </w:rPr>
        <w:t>Cuadro de Pago de Saldos PEC por parte del Coordinador</w:t>
      </w:r>
      <w:r w:rsidR="0086289C">
        <w:rPr>
          <w:rFonts w:cstheme="minorHAnsi"/>
        </w:rPr>
        <w:t>,</w:t>
      </w:r>
      <w:r w:rsidR="0016736B" w:rsidRPr="001D46BB">
        <w:rPr>
          <w:rFonts w:cstheme="minorHAnsi"/>
        </w:rPr>
        <w:t xml:space="preserve"> las empresas suministradoras </w:t>
      </w:r>
      <w:r w:rsidR="00176C21">
        <w:rPr>
          <w:rFonts w:cstheme="minorHAnsi"/>
        </w:rPr>
        <w:t xml:space="preserve">deberán emitir las facturas </w:t>
      </w:r>
      <w:r w:rsidR="00CD3D15">
        <w:rPr>
          <w:rFonts w:cstheme="minorHAnsi"/>
        </w:rPr>
        <w:t xml:space="preserve">a las empresas distribuidoras, </w:t>
      </w:r>
      <w:r w:rsidR="00176C21">
        <w:rPr>
          <w:rFonts w:cstheme="minorHAnsi"/>
        </w:rPr>
        <w:t>correspondientes a la primera cuota mensual</w:t>
      </w:r>
      <w:r w:rsidR="00646C14">
        <w:rPr>
          <w:rFonts w:cstheme="minorHAnsi"/>
        </w:rPr>
        <w:t xml:space="preserve">. </w:t>
      </w:r>
      <w:r w:rsidR="00252366" w:rsidRPr="00252366">
        <w:rPr>
          <w:rFonts w:cstheme="minorHAnsi"/>
        </w:rPr>
        <w:t>En</w:t>
      </w:r>
      <w:r w:rsidR="00252366">
        <w:rPr>
          <w:rFonts w:cstheme="minorHAnsi"/>
        </w:rPr>
        <w:t xml:space="preserve"> </w:t>
      </w:r>
      <w:r w:rsidR="00252366" w:rsidRPr="00252366">
        <w:rPr>
          <w:rFonts w:cstheme="minorHAnsi"/>
        </w:rPr>
        <w:t>dichas facturas sólo podrán incluir el mencionado pago de Saldos PEC.</w:t>
      </w:r>
    </w:p>
    <w:p w14:paraId="28411984" w14:textId="5EEBAFDF" w:rsidR="00646C14" w:rsidRDefault="002E1B32" w:rsidP="0016736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Deberán informar dentro de mismo plazo,</w:t>
      </w:r>
      <w:r w:rsidR="00646C14">
        <w:rPr>
          <w:rFonts w:cstheme="minorHAnsi"/>
        </w:rPr>
        <w:t xml:space="preserve"> </w:t>
      </w:r>
      <w:r w:rsidR="00470818">
        <w:rPr>
          <w:rFonts w:cstheme="minorHAnsi"/>
        </w:rPr>
        <w:t>a las distribuidoras y al Coordinador</w:t>
      </w:r>
      <w:r>
        <w:rPr>
          <w:rFonts w:cstheme="minorHAnsi"/>
        </w:rPr>
        <w:t>,</w:t>
      </w:r>
      <w:r w:rsidR="00470818">
        <w:rPr>
          <w:rFonts w:cstheme="minorHAnsi"/>
        </w:rPr>
        <w:t xml:space="preserve"> </w:t>
      </w:r>
      <w:r w:rsidR="00470818" w:rsidRPr="00470818">
        <w:rPr>
          <w:rFonts w:cstheme="minorHAnsi"/>
        </w:rPr>
        <w:t>el resultado de las correspondientes cesiones de facturas</w:t>
      </w:r>
      <w:r w:rsidR="00470818">
        <w:rPr>
          <w:rFonts w:cstheme="minorHAnsi"/>
        </w:rPr>
        <w:t xml:space="preserve"> registradas en el SII.</w:t>
      </w:r>
    </w:p>
    <w:p w14:paraId="482E5F08" w14:textId="51B76596" w:rsidR="00FC4FAF" w:rsidRDefault="00BD3DA2" w:rsidP="0016736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BD3DA2">
        <w:rPr>
          <w:rFonts w:cstheme="minorHAnsi"/>
        </w:rPr>
        <w:t xml:space="preserve">Las facturas de la primera cuota deberán ser </w:t>
      </w:r>
      <w:r w:rsidR="002E1B32">
        <w:rPr>
          <w:rFonts w:cstheme="minorHAnsi"/>
        </w:rPr>
        <w:t>elaboradas</w:t>
      </w:r>
      <w:r w:rsidRPr="00BD3DA2">
        <w:rPr>
          <w:rFonts w:cstheme="minorHAnsi"/>
        </w:rPr>
        <w:t xml:space="preserve"> en moneda nacional, convirtiendo</w:t>
      </w:r>
      <w:r>
        <w:rPr>
          <w:rFonts w:cstheme="minorHAnsi"/>
        </w:rPr>
        <w:t xml:space="preserve"> </w:t>
      </w:r>
      <w:r w:rsidRPr="00BD3DA2">
        <w:rPr>
          <w:rFonts w:cstheme="minorHAnsi"/>
        </w:rPr>
        <w:t xml:space="preserve">los valores del Cuadro de Pago de Saldos PEC </w:t>
      </w:r>
      <w:proofErr w:type="gramStart"/>
      <w:r w:rsidRPr="00BD3DA2">
        <w:rPr>
          <w:rFonts w:cstheme="minorHAnsi"/>
        </w:rPr>
        <w:t>de acuerdo al</w:t>
      </w:r>
      <w:proofErr w:type="gramEnd"/>
      <w:r w:rsidRPr="00BD3DA2">
        <w:rPr>
          <w:rFonts w:cstheme="minorHAnsi"/>
        </w:rPr>
        <w:t xml:space="preserve"> dólar observado de los Estados</w:t>
      </w:r>
      <w:r>
        <w:rPr>
          <w:rFonts w:cstheme="minorHAnsi"/>
        </w:rPr>
        <w:t xml:space="preserve"> </w:t>
      </w:r>
      <w:r w:rsidRPr="00BD3DA2">
        <w:rPr>
          <w:rFonts w:cstheme="minorHAnsi"/>
        </w:rPr>
        <w:t>Unidos de América publicado por el Banco Central de Chile correspondiente al sexto día hábil</w:t>
      </w:r>
      <w:r>
        <w:rPr>
          <w:rFonts w:cstheme="minorHAnsi"/>
        </w:rPr>
        <w:t xml:space="preserve"> </w:t>
      </w:r>
      <w:r w:rsidRPr="00BD3DA2">
        <w:rPr>
          <w:rFonts w:cstheme="minorHAnsi"/>
        </w:rPr>
        <w:t>siguiente a la fecha de publicación del Decreto PNP correspondiente</w:t>
      </w:r>
      <w:r w:rsidR="00FC4FAF">
        <w:rPr>
          <w:rFonts w:cstheme="minorHAnsi"/>
        </w:rPr>
        <w:t>.</w:t>
      </w:r>
    </w:p>
    <w:p w14:paraId="7EEBC81B" w14:textId="68865575" w:rsidR="009376AB" w:rsidRPr="00E35FB6" w:rsidRDefault="009376AB" w:rsidP="009376AB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9" w:name="_Toc185370867"/>
      <w:r>
        <w:rPr>
          <w:b/>
          <w:bCs/>
          <w:color w:val="000000" w:themeColor="text1"/>
        </w:rPr>
        <w:lastRenderedPageBreak/>
        <w:t>Emisión de Nómina de Pago de Saldos PEC.</w:t>
      </w:r>
      <w:bookmarkEnd w:id="9"/>
    </w:p>
    <w:p w14:paraId="5A7F9B43" w14:textId="03C108A2" w:rsidR="009376AB" w:rsidRDefault="009376AB" w:rsidP="009376A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1D46BB">
        <w:rPr>
          <w:rFonts w:cstheme="minorHAnsi"/>
        </w:rPr>
        <w:t>A más tardar</w:t>
      </w:r>
      <w:r w:rsidR="002E1B32">
        <w:rPr>
          <w:rFonts w:cstheme="minorHAnsi"/>
        </w:rPr>
        <w:t>,</w:t>
      </w:r>
      <w:r w:rsidRPr="001D46BB">
        <w:rPr>
          <w:rFonts w:cstheme="minorHAnsi"/>
        </w:rPr>
        <w:t xml:space="preserve"> el </w:t>
      </w:r>
      <w:r w:rsidR="004B3E15">
        <w:rPr>
          <w:rFonts w:cstheme="minorHAnsi"/>
        </w:rPr>
        <w:t>quinto</w:t>
      </w:r>
      <w:r w:rsidRPr="001D46BB">
        <w:rPr>
          <w:rFonts w:cstheme="minorHAnsi"/>
        </w:rPr>
        <w:t xml:space="preserve"> día hábil posterior a la publicación del </w:t>
      </w:r>
      <w:r w:rsidR="00C40D04">
        <w:rPr>
          <w:rFonts w:cstheme="minorHAnsi"/>
        </w:rPr>
        <w:t>Cuadro de Pago de Saldos PEC</w:t>
      </w:r>
      <w:r w:rsidRPr="001D46BB">
        <w:rPr>
          <w:rFonts w:cstheme="minorHAnsi"/>
        </w:rPr>
        <w:t xml:space="preserve">, </w:t>
      </w:r>
      <w:r>
        <w:rPr>
          <w:rFonts w:cstheme="minorHAnsi"/>
        </w:rPr>
        <w:t xml:space="preserve">el Coordinador </w:t>
      </w:r>
      <w:r w:rsidRPr="009376AB">
        <w:rPr>
          <w:rFonts w:cstheme="minorHAnsi"/>
        </w:rPr>
        <w:t>comunica</w:t>
      </w:r>
      <w:r>
        <w:rPr>
          <w:rFonts w:cstheme="minorHAnsi"/>
        </w:rPr>
        <w:t>rá</w:t>
      </w:r>
      <w:r w:rsidRPr="009376AB">
        <w:rPr>
          <w:rFonts w:cstheme="minorHAnsi"/>
        </w:rPr>
        <w:t xml:space="preserve"> a TGR la Nómina de Pago de Saldos PEC correctamente verificados.</w:t>
      </w:r>
    </w:p>
    <w:p w14:paraId="0F3FAD38" w14:textId="7A930D18" w:rsidR="008C5411" w:rsidRDefault="003162A3" w:rsidP="009376A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920D5C" w:rsidRPr="00920D5C">
        <w:rPr>
          <w:rFonts w:cstheme="minorHAnsi"/>
        </w:rPr>
        <w:t xml:space="preserve">a </w:t>
      </w:r>
      <w:r>
        <w:rPr>
          <w:rFonts w:cstheme="minorHAnsi"/>
        </w:rPr>
        <w:t>N</w:t>
      </w:r>
      <w:r w:rsidR="00920D5C" w:rsidRPr="00920D5C">
        <w:rPr>
          <w:rFonts w:cstheme="minorHAnsi"/>
        </w:rPr>
        <w:t xml:space="preserve">ómina de </w:t>
      </w:r>
      <w:r>
        <w:rPr>
          <w:rFonts w:cstheme="minorHAnsi"/>
        </w:rPr>
        <w:t>P</w:t>
      </w:r>
      <w:r w:rsidR="00920D5C" w:rsidRPr="00920D5C">
        <w:rPr>
          <w:rFonts w:cstheme="minorHAnsi"/>
        </w:rPr>
        <w:t>ago</w:t>
      </w:r>
      <w:r w:rsidR="00051E5B">
        <w:rPr>
          <w:rFonts w:cstheme="minorHAnsi"/>
        </w:rPr>
        <w:t xml:space="preserve"> </w:t>
      </w:r>
      <w:r w:rsidR="00E30D82">
        <w:rPr>
          <w:rFonts w:cstheme="minorHAnsi"/>
        </w:rPr>
        <w:t xml:space="preserve">se encontrará agrupada </w:t>
      </w:r>
      <w:r w:rsidR="002E1B32">
        <w:rPr>
          <w:rFonts w:cstheme="minorHAnsi"/>
        </w:rPr>
        <w:t>según</w:t>
      </w:r>
      <w:r w:rsidR="00E30D82">
        <w:rPr>
          <w:rFonts w:cstheme="minorHAnsi"/>
        </w:rPr>
        <w:t xml:space="preserve"> </w:t>
      </w:r>
      <w:r w:rsidR="00364D06">
        <w:rPr>
          <w:rFonts w:cstheme="minorHAnsi"/>
        </w:rPr>
        <w:t>c</w:t>
      </w:r>
      <w:r w:rsidR="00E30D82">
        <w:rPr>
          <w:rFonts w:cstheme="minorHAnsi"/>
        </w:rPr>
        <w:t>a</w:t>
      </w:r>
      <w:r w:rsidR="00364D06">
        <w:rPr>
          <w:rFonts w:cstheme="minorHAnsi"/>
        </w:rPr>
        <w:t>da</w:t>
      </w:r>
      <w:r w:rsidR="00E30D82">
        <w:rPr>
          <w:rFonts w:cstheme="minorHAnsi"/>
        </w:rPr>
        <w:t xml:space="preserve"> beneficiari</w:t>
      </w:r>
      <w:r w:rsidR="00210663">
        <w:rPr>
          <w:rFonts w:cstheme="minorHAnsi"/>
        </w:rPr>
        <w:t>o</w:t>
      </w:r>
      <w:r w:rsidR="00E30D82">
        <w:rPr>
          <w:rFonts w:cstheme="minorHAnsi"/>
        </w:rPr>
        <w:t xml:space="preserve"> del pago de </w:t>
      </w:r>
      <w:r w:rsidR="00364D06">
        <w:rPr>
          <w:rFonts w:cstheme="minorHAnsi"/>
        </w:rPr>
        <w:t>S</w:t>
      </w:r>
      <w:r w:rsidR="00E30D82">
        <w:rPr>
          <w:rFonts w:cstheme="minorHAnsi"/>
        </w:rPr>
        <w:t xml:space="preserve">aldos PEC, e </w:t>
      </w:r>
      <w:r w:rsidR="00920D5C" w:rsidRPr="00920D5C">
        <w:rPr>
          <w:rFonts w:cstheme="minorHAnsi"/>
        </w:rPr>
        <w:t>inclu</w:t>
      </w:r>
      <w:r w:rsidR="00885E2B">
        <w:rPr>
          <w:rFonts w:cstheme="minorHAnsi"/>
        </w:rPr>
        <w:t>irá</w:t>
      </w:r>
      <w:r w:rsidR="00920D5C" w:rsidRPr="00920D5C">
        <w:rPr>
          <w:rFonts w:cstheme="minorHAnsi"/>
        </w:rPr>
        <w:t xml:space="preserve"> un</w:t>
      </w:r>
      <w:r w:rsidR="00920D5C">
        <w:rPr>
          <w:rFonts w:cstheme="minorHAnsi"/>
        </w:rPr>
        <w:t xml:space="preserve"> </w:t>
      </w:r>
      <w:r w:rsidR="00885E2B">
        <w:rPr>
          <w:rFonts w:cstheme="minorHAnsi"/>
        </w:rPr>
        <w:t xml:space="preserve">campo </w:t>
      </w:r>
      <w:r w:rsidR="00920D5C" w:rsidRPr="00920D5C">
        <w:rPr>
          <w:rFonts w:cstheme="minorHAnsi"/>
        </w:rPr>
        <w:t>correlativo, nombre y RUT de la Distribuidora, monto</w:t>
      </w:r>
      <w:r w:rsidR="000137AE">
        <w:rPr>
          <w:rFonts w:cstheme="minorHAnsi"/>
        </w:rPr>
        <w:t xml:space="preserve"> en pesos</w:t>
      </w:r>
      <w:r w:rsidR="00920D5C" w:rsidRPr="00920D5C">
        <w:rPr>
          <w:rFonts w:cstheme="minorHAnsi"/>
        </w:rPr>
        <w:t xml:space="preserve"> neto de IVA a pagar por </w:t>
      </w:r>
      <w:r w:rsidR="00800E53">
        <w:rPr>
          <w:rFonts w:cstheme="minorHAnsi"/>
        </w:rPr>
        <w:t xml:space="preserve">TGR </w:t>
      </w:r>
      <w:r w:rsidR="007B7352">
        <w:rPr>
          <w:rFonts w:cstheme="minorHAnsi"/>
        </w:rPr>
        <w:t xml:space="preserve">a nombre de </w:t>
      </w:r>
      <w:r w:rsidR="00920D5C" w:rsidRPr="00920D5C">
        <w:rPr>
          <w:rFonts w:cstheme="minorHAnsi"/>
        </w:rPr>
        <w:t>la</w:t>
      </w:r>
      <w:r w:rsidR="00920D5C">
        <w:rPr>
          <w:rFonts w:cstheme="minorHAnsi"/>
        </w:rPr>
        <w:t xml:space="preserve"> </w:t>
      </w:r>
      <w:r w:rsidR="00920D5C" w:rsidRPr="00920D5C">
        <w:rPr>
          <w:rFonts w:cstheme="minorHAnsi"/>
        </w:rPr>
        <w:t>correspondiente Distribuidora</w:t>
      </w:r>
      <w:r w:rsidR="002E1B32">
        <w:rPr>
          <w:rFonts w:cstheme="minorHAnsi"/>
        </w:rPr>
        <w:t xml:space="preserve"> </w:t>
      </w:r>
      <w:r w:rsidR="002E1B32" w:rsidRPr="0047501F">
        <w:rPr>
          <w:rFonts w:cstheme="minorHAnsi"/>
        </w:rPr>
        <w:t>y asignada</w:t>
      </w:r>
      <w:r w:rsidR="00920D5C" w:rsidRPr="00920D5C">
        <w:rPr>
          <w:rFonts w:cstheme="minorHAnsi"/>
        </w:rPr>
        <w:t xml:space="preserve"> a cada Suministrador o a su cesionario</w:t>
      </w:r>
      <w:r w:rsidR="00F316B9">
        <w:rPr>
          <w:rFonts w:cstheme="minorHAnsi"/>
        </w:rPr>
        <w:t xml:space="preserve">, </w:t>
      </w:r>
      <w:r w:rsidR="00752364">
        <w:rPr>
          <w:rFonts w:cstheme="minorHAnsi"/>
        </w:rPr>
        <w:t xml:space="preserve">su equivalente en dólares, </w:t>
      </w:r>
      <w:r w:rsidR="00920D5C" w:rsidRPr="00920D5C">
        <w:rPr>
          <w:rFonts w:cstheme="minorHAnsi"/>
        </w:rPr>
        <w:t>y las cuentas corrientes,</w:t>
      </w:r>
      <w:r w:rsidR="00920D5C">
        <w:rPr>
          <w:rFonts w:cstheme="minorHAnsi"/>
        </w:rPr>
        <w:t xml:space="preserve"> </w:t>
      </w:r>
      <w:r w:rsidR="00920D5C" w:rsidRPr="00920D5C">
        <w:rPr>
          <w:rFonts w:cstheme="minorHAnsi"/>
        </w:rPr>
        <w:t>nombres y RUT de los beneficiarios de dichas transferencias</w:t>
      </w:r>
      <w:r w:rsidR="008C5411">
        <w:rPr>
          <w:rFonts w:cstheme="minorHAnsi"/>
        </w:rPr>
        <w:t>.</w:t>
      </w:r>
    </w:p>
    <w:p w14:paraId="4DD0F3AD" w14:textId="1D7F12A1" w:rsidR="00760D44" w:rsidRDefault="00760D44" w:rsidP="009376A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760D44">
        <w:rPr>
          <w:rFonts w:cstheme="minorHAnsi"/>
        </w:rPr>
        <w:t xml:space="preserve">No obstante, la información correspondiente a las cuentas, incluyendo banco, tipo de cuenta, número de cuenta, RUT, nombre y correos electrónicos </w:t>
      </w:r>
      <w:r w:rsidR="00F43F20">
        <w:rPr>
          <w:rFonts w:cstheme="minorHAnsi"/>
        </w:rPr>
        <w:t xml:space="preserve">de contactos </w:t>
      </w:r>
      <w:r w:rsidRPr="00760D44">
        <w:rPr>
          <w:rFonts w:cstheme="minorHAnsi"/>
        </w:rPr>
        <w:t>de los beneficiarios, podrá ser comunicada con anticipación por el Coordinador a la TGR, en carácter de instrucciones permanentes de pago, limitando así la información contenida en las Nóminas de Pago</w:t>
      </w:r>
      <w:r w:rsidR="00F43F20">
        <w:rPr>
          <w:rFonts w:cstheme="minorHAnsi"/>
        </w:rPr>
        <w:t>.</w:t>
      </w:r>
    </w:p>
    <w:p w14:paraId="22FFEE11" w14:textId="094F6AAF" w:rsidR="008C5411" w:rsidRDefault="00E05276" w:rsidP="009376A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La</w:t>
      </w:r>
      <w:r w:rsidR="008C5411">
        <w:rPr>
          <w:rFonts w:cstheme="minorHAnsi"/>
        </w:rPr>
        <w:t xml:space="preserve"> </w:t>
      </w:r>
      <w:r>
        <w:rPr>
          <w:rFonts w:cstheme="minorHAnsi"/>
        </w:rPr>
        <w:t>nómina será enviada a TGR</w:t>
      </w:r>
      <w:r w:rsidRPr="00E05276">
        <w:rPr>
          <w:rFonts w:cstheme="minorHAnsi"/>
        </w:rPr>
        <w:t xml:space="preserve"> mediante el </w:t>
      </w:r>
      <w:r>
        <w:rPr>
          <w:rFonts w:cstheme="minorHAnsi"/>
        </w:rPr>
        <w:t>S</w:t>
      </w:r>
      <w:r w:rsidRPr="00E05276">
        <w:rPr>
          <w:rFonts w:cstheme="minorHAnsi"/>
        </w:rPr>
        <w:t>istema de Correspondencia</w:t>
      </w:r>
      <w:r>
        <w:rPr>
          <w:rFonts w:cstheme="minorHAnsi"/>
        </w:rPr>
        <w:t>,</w:t>
      </w:r>
      <w:r w:rsidRPr="00E05276">
        <w:rPr>
          <w:rFonts w:cstheme="minorHAnsi"/>
        </w:rPr>
        <w:t xml:space="preserve"> y publicad</w:t>
      </w:r>
      <w:r>
        <w:rPr>
          <w:rFonts w:cstheme="minorHAnsi"/>
        </w:rPr>
        <w:t>a</w:t>
      </w:r>
      <w:r w:rsidRPr="00E05276">
        <w:rPr>
          <w:rFonts w:cstheme="minorHAnsi"/>
        </w:rPr>
        <w:t xml:space="preserve"> en la página web</w:t>
      </w:r>
      <w:r>
        <w:rPr>
          <w:rFonts w:cstheme="minorHAnsi"/>
        </w:rPr>
        <w:t xml:space="preserve"> del Coordinador</w:t>
      </w:r>
      <w:r w:rsidRPr="00E05276">
        <w:rPr>
          <w:rFonts w:cstheme="minorHAnsi"/>
        </w:rPr>
        <w:t>.</w:t>
      </w:r>
    </w:p>
    <w:p w14:paraId="4588F21D" w14:textId="184AA4E5" w:rsidR="00E85AC4" w:rsidRPr="00E35FB6" w:rsidRDefault="00630C87" w:rsidP="00E85AC4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10" w:name="_Toc185370868"/>
      <w:r>
        <w:rPr>
          <w:b/>
          <w:bCs/>
          <w:color w:val="000000" w:themeColor="text1"/>
        </w:rPr>
        <w:t>Pago de Saldos PEC</w:t>
      </w:r>
      <w:r w:rsidR="00E85AC4">
        <w:rPr>
          <w:b/>
          <w:bCs/>
          <w:color w:val="000000" w:themeColor="text1"/>
        </w:rPr>
        <w:t>.</w:t>
      </w:r>
      <w:bookmarkEnd w:id="10"/>
    </w:p>
    <w:p w14:paraId="31BD1C86" w14:textId="74A289A7" w:rsidR="00E85AC4" w:rsidRDefault="00E85AC4" w:rsidP="00E85AC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1D46BB">
        <w:rPr>
          <w:rFonts w:cstheme="minorHAnsi"/>
        </w:rPr>
        <w:t>A más tardar</w:t>
      </w:r>
      <w:r w:rsidR="002E1B32">
        <w:rPr>
          <w:rFonts w:cstheme="minorHAnsi"/>
        </w:rPr>
        <w:t>,</w:t>
      </w:r>
      <w:r w:rsidRPr="001D46BB">
        <w:rPr>
          <w:rFonts w:cstheme="minorHAnsi"/>
        </w:rPr>
        <w:t xml:space="preserve"> el </w:t>
      </w:r>
      <w:r w:rsidR="0081073A">
        <w:rPr>
          <w:rFonts w:cstheme="minorHAnsi"/>
        </w:rPr>
        <w:t>sexto</w:t>
      </w:r>
      <w:r w:rsidR="0081073A" w:rsidRPr="001D46BB">
        <w:rPr>
          <w:rFonts w:cstheme="minorHAnsi"/>
        </w:rPr>
        <w:t xml:space="preserve"> día hábil posterior a la publicación del </w:t>
      </w:r>
      <w:r w:rsidR="0081073A">
        <w:rPr>
          <w:rFonts w:cstheme="minorHAnsi"/>
        </w:rPr>
        <w:t>Cuadro de Pago de Saldos PEC</w:t>
      </w:r>
      <w:r w:rsidRPr="001D46BB">
        <w:rPr>
          <w:rFonts w:cstheme="minorHAnsi"/>
        </w:rPr>
        <w:t xml:space="preserve">, </w:t>
      </w:r>
      <w:r w:rsidR="00630C87">
        <w:rPr>
          <w:rFonts w:cstheme="minorHAnsi"/>
        </w:rPr>
        <w:t xml:space="preserve">las empresas </w:t>
      </w:r>
      <w:r w:rsidR="00851064">
        <w:rPr>
          <w:rFonts w:cstheme="minorHAnsi"/>
        </w:rPr>
        <w:t>D</w:t>
      </w:r>
      <w:r w:rsidR="00630C87">
        <w:rPr>
          <w:rFonts w:cstheme="minorHAnsi"/>
        </w:rPr>
        <w:t>istribuidoras</w:t>
      </w:r>
      <w:r w:rsidR="00786FF8">
        <w:rPr>
          <w:rFonts w:cstheme="minorHAnsi"/>
        </w:rPr>
        <w:t>,</w:t>
      </w:r>
      <w:r w:rsidR="00144BAC">
        <w:rPr>
          <w:rFonts w:cstheme="minorHAnsi"/>
        </w:rPr>
        <w:t xml:space="preserve"> y la TGR </w:t>
      </w:r>
      <w:r w:rsidR="00615ACE">
        <w:rPr>
          <w:rFonts w:cstheme="minorHAnsi"/>
        </w:rPr>
        <w:t xml:space="preserve">con cargo al FET y </w:t>
      </w:r>
      <w:r w:rsidR="00851064">
        <w:rPr>
          <w:rFonts w:cstheme="minorHAnsi"/>
        </w:rPr>
        <w:t>en representación de las Distribuidoras</w:t>
      </w:r>
      <w:r w:rsidR="00860801">
        <w:rPr>
          <w:rFonts w:cstheme="minorHAnsi"/>
        </w:rPr>
        <w:t>,</w:t>
      </w:r>
      <w:r w:rsidR="00786FF8">
        <w:rPr>
          <w:rFonts w:cstheme="minorHAnsi"/>
        </w:rPr>
        <w:t xml:space="preserve"> </w:t>
      </w:r>
      <w:r w:rsidR="00F63DE0" w:rsidRPr="00F63DE0">
        <w:rPr>
          <w:rFonts w:cstheme="minorHAnsi"/>
        </w:rPr>
        <w:t>ha</w:t>
      </w:r>
      <w:r w:rsidR="00786FF8">
        <w:rPr>
          <w:rFonts w:cstheme="minorHAnsi"/>
        </w:rPr>
        <w:t>rán</w:t>
      </w:r>
      <w:r w:rsidR="00F63DE0" w:rsidRPr="00F63DE0">
        <w:rPr>
          <w:rFonts w:cstheme="minorHAnsi"/>
        </w:rPr>
        <w:t xml:space="preserve"> efectivos los pagos</w:t>
      </w:r>
      <w:r w:rsidR="00786FF8">
        <w:rPr>
          <w:rFonts w:cstheme="minorHAnsi"/>
        </w:rPr>
        <w:t xml:space="preserve"> de Saldos PEC</w:t>
      </w:r>
      <w:r w:rsidR="00F63DE0" w:rsidRPr="00F63DE0">
        <w:rPr>
          <w:rFonts w:cstheme="minorHAnsi"/>
        </w:rPr>
        <w:t xml:space="preserve"> a las respectivas empresas suministradoras y cesionarias</w:t>
      </w:r>
      <w:r w:rsidR="003D3F1C">
        <w:rPr>
          <w:rFonts w:cstheme="minorHAnsi"/>
        </w:rPr>
        <w:t xml:space="preserve">, </w:t>
      </w:r>
      <w:r w:rsidR="003D3F1C" w:rsidRPr="0047501F">
        <w:rPr>
          <w:rFonts w:cstheme="minorHAnsi"/>
        </w:rPr>
        <w:t xml:space="preserve">correspondiendo </w:t>
      </w:r>
      <w:r w:rsidR="0047501F" w:rsidRPr="0047501F">
        <w:rPr>
          <w:rFonts w:cstheme="minorHAnsi"/>
        </w:rPr>
        <w:t>que pague</w:t>
      </w:r>
      <w:r w:rsidR="00045C27" w:rsidRPr="0047501F">
        <w:rPr>
          <w:rFonts w:cstheme="minorHAnsi"/>
        </w:rPr>
        <w:t xml:space="preserve"> </w:t>
      </w:r>
      <w:r w:rsidR="00673822" w:rsidRPr="0047501F">
        <w:rPr>
          <w:rFonts w:cstheme="minorHAnsi"/>
        </w:rPr>
        <w:t xml:space="preserve">TGR </w:t>
      </w:r>
      <w:r w:rsidR="005658B2" w:rsidRPr="0047501F">
        <w:rPr>
          <w:rFonts w:cstheme="minorHAnsi"/>
        </w:rPr>
        <w:t xml:space="preserve">los montos netos de IVA, </w:t>
      </w:r>
      <w:r w:rsidR="00ED338C" w:rsidRPr="0047501F">
        <w:rPr>
          <w:rFonts w:cstheme="minorHAnsi"/>
        </w:rPr>
        <w:t xml:space="preserve">y las </w:t>
      </w:r>
      <w:r w:rsidR="004B2BD1" w:rsidRPr="0047501F">
        <w:rPr>
          <w:rFonts w:cstheme="minorHAnsi"/>
        </w:rPr>
        <w:t xml:space="preserve">Distribuidoras </w:t>
      </w:r>
      <w:r w:rsidR="0047501F" w:rsidRPr="0047501F">
        <w:rPr>
          <w:rFonts w:cstheme="minorHAnsi"/>
        </w:rPr>
        <w:t xml:space="preserve">el monto correspondiente al </w:t>
      </w:r>
      <w:r w:rsidR="004B2BD1" w:rsidRPr="0047501F">
        <w:rPr>
          <w:rFonts w:cstheme="minorHAnsi"/>
        </w:rPr>
        <w:t>IVA.</w:t>
      </w:r>
    </w:p>
    <w:p w14:paraId="11C3C753" w14:textId="6A15E404" w:rsidR="00946222" w:rsidRPr="00946222" w:rsidRDefault="00946222" w:rsidP="0094622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946222">
        <w:rPr>
          <w:rFonts w:cstheme="minorHAnsi"/>
        </w:rPr>
        <w:t>El Coordinador supervisar</w:t>
      </w:r>
      <w:r w:rsidR="00256B9E">
        <w:rPr>
          <w:rFonts w:cstheme="minorHAnsi"/>
        </w:rPr>
        <w:t>á</w:t>
      </w:r>
      <w:r w:rsidRPr="00946222">
        <w:rPr>
          <w:rFonts w:cstheme="minorHAnsi"/>
        </w:rPr>
        <w:t xml:space="preserve"> la continuidad de la cadena de pagos de los Saldos PEC al</w:t>
      </w:r>
      <w:r>
        <w:rPr>
          <w:rFonts w:cstheme="minorHAnsi"/>
        </w:rPr>
        <w:t xml:space="preserve"> </w:t>
      </w:r>
      <w:r w:rsidRPr="00946222">
        <w:rPr>
          <w:rFonts w:cstheme="minorHAnsi"/>
        </w:rPr>
        <w:t xml:space="preserve">titular de éstos, </w:t>
      </w:r>
      <w:r w:rsidR="00EF40F3">
        <w:rPr>
          <w:rFonts w:cstheme="minorHAnsi"/>
        </w:rPr>
        <w:t>mediante el registro y control de las facturaciones y pagos</w:t>
      </w:r>
      <w:r w:rsidR="00E731F9">
        <w:rPr>
          <w:rFonts w:cstheme="minorHAnsi"/>
        </w:rPr>
        <w:t xml:space="preserve">, con excepción de </w:t>
      </w:r>
      <w:r w:rsidR="00D512B4">
        <w:rPr>
          <w:rFonts w:cstheme="minorHAnsi"/>
        </w:rPr>
        <w:t xml:space="preserve">aquellas correspondientes a </w:t>
      </w:r>
      <w:r w:rsidR="00CC2408">
        <w:rPr>
          <w:rFonts w:cstheme="minorHAnsi"/>
        </w:rPr>
        <w:t>Sistemas Medianos</w:t>
      </w:r>
      <w:r w:rsidRPr="00946222">
        <w:rPr>
          <w:rFonts w:cstheme="minorHAnsi"/>
        </w:rPr>
        <w:t>.</w:t>
      </w:r>
    </w:p>
    <w:p w14:paraId="0371D8F7" w14:textId="27CD99BE" w:rsidR="00992978" w:rsidRPr="00E35FB6" w:rsidRDefault="00EE3C50" w:rsidP="00992978">
      <w:pPr>
        <w:pStyle w:val="Ttulo2"/>
        <w:numPr>
          <w:ilvl w:val="1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11" w:name="_Toc185370869"/>
      <w:r>
        <w:rPr>
          <w:b/>
          <w:bCs/>
          <w:color w:val="000000" w:themeColor="text1"/>
        </w:rPr>
        <w:t xml:space="preserve">Pago de </w:t>
      </w:r>
      <w:r w:rsidR="0067794E">
        <w:rPr>
          <w:b/>
          <w:bCs/>
          <w:color w:val="000000" w:themeColor="text1"/>
        </w:rPr>
        <w:t xml:space="preserve">las </w:t>
      </w:r>
      <w:r>
        <w:rPr>
          <w:b/>
          <w:bCs/>
          <w:color w:val="000000" w:themeColor="text1"/>
        </w:rPr>
        <w:t xml:space="preserve">restantes </w:t>
      </w:r>
      <w:r w:rsidR="0067794E">
        <w:rPr>
          <w:b/>
          <w:bCs/>
          <w:color w:val="000000" w:themeColor="text1"/>
        </w:rPr>
        <w:t xml:space="preserve">cuotas </w:t>
      </w:r>
      <w:r>
        <w:rPr>
          <w:b/>
          <w:bCs/>
          <w:color w:val="000000" w:themeColor="text1"/>
        </w:rPr>
        <w:t xml:space="preserve">del Cuadro de Pagos de Saldos PEC </w:t>
      </w:r>
      <w:r w:rsidR="00992978">
        <w:rPr>
          <w:b/>
          <w:bCs/>
          <w:color w:val="000000" w:themeColor="text1"/>
        </w:rPr>
        <w:t>.</w:t>
      </w:r>
      <w:bookmarkEnd w:id="11"/>
    </w:p>
    <w:p w14:paraId="2B96A262" w14:textId="460D031C" w:rsidR="0067794E" w:rsidRDefault="004005C0" w:rsidP="0099297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Para la </w:t>
      </w:r>
      <w:r w:rsidR="006F16FF">
        <w:rPr>
          <w:rFonts w:cstheme="minorHAnsi"/>
        </w:rPr>
        <w:t>ejecución de las</w:t>
      </w:r>
      <w:r>
        <w:rPr>
          <w:rFonts w:cstheme="minorHAnsi"/>
        </w:rPr>
        <w:t xml:space="preserve"> restantes </w:t>
      </w:r>
      <w:r w:rsidR="001E1FCA">
        <w:rPr>
          <w:rFonts w:cstheme="minorHAnsi"/>
        </w:rPr>
        <w:t xml:space="preserve">cinco </w:t>
      </w:r>
      <w:r>
        <w:rPr>
          <w:rFonts w:cstheme="minorHAnsi"/>
        </w:rPr>
        <w:t xml:space="preserve">cuotas </w:t>
      </w:r>
      <w:r w:rsidR="006A15DE">
        <w:rPr>
          <w:rFonts w:cstheme="minorHAnsi"/>
        </w:rPr>
        <w:t xml:space="preserve">mensuales </w:t>
      </w:r>
      <w:r>
        <w:rPr>
          <w:rFonts w:cstheme="minorHAnsi"/>
        </w:rPr>
        <w:t xml:space="preserve">del Cuadro de Pagos de Saldos PEC emitido por el Coordinador, </w:t>
      </w:r>
      <w:r w:rsidR="006F16FF">
        <w:rPr>
          <w:rFonts w:cstheme="minorHAnsi"/>
        </w:rPr>
        <w:t xml:space="preserve">se procederá de acuerdo </w:t>
      </w:r>
      <w:r w:rsidR="002C2F75">
        <w:rPr>
          <w:rFonts w:cstheme="minorHAnsi"/>
        </w:rPr>
        <w:t>con</w:t>
      </w:r>
      <w:r w:rsidR="006F16FF">
        <w:rPr>
          <w:rFonts w:cstheme="minorHAnsi"/>
        </w:rPr>
        <w:t xml:space="preserve"> lo indicado en la Resolución </w:t>
      </w:r>
      <w:proofErr w:type="spellStart"/>
      <w:r w:rsidR="0067794E">
        <w:rPr>
          <w:rFonts w:cstheme="minorHAnsi"/>
        </w:rPr>
        <w:t>N</w:t>
      </w:r>
      <w:r w:rsidR="006F16FF">
        <w:rPr>
          <w:rFonts w:cstheme="minorHAnsi"/>
        </w:rPr>
        <w:t>°</w:t>
      </w:r>
      <w:proofErr w:type="spellEnd"/>
      <w:r w:rsidR="006F16FF">
        <w:rPr>
          <w:rFonts w:cstheme="minorHAnsi"/>
        </w:rPr>
        <w:t xml:space="preserve"> </w:t>
      </w:r>
      <w:r w:rsidR="0067794E">
        <w:rPr>
          <w:rFonts w:cstheme="minorHAnsi"/>
        </w:rPr>
        <w:t>379.</w:t>
      </w:r>
      <w:r w:rsidR="008E7CBA">
        <w:rPr>
          <w:rFonts w:cstheme="minorHAnsi"/>
        </w:rPr>
        <w:t xml:space="preserve"> Para ello:</w:t>
      </w:r>
    </w:p>
    <w:p w14:paraId="5D7F674D" w14:textId="06872A87" w:rsidR="008E7CBA" w:rsidRDefault="008E7CBA" w:rsidP="00FD4AC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270E8E">
        <w:rPr>
          <w:rFonts w:cstheme="minorHAnsi"/>
        </w:rPr>
        <w:t xml:space="preserve">La conversión a </w:t>
      </w:r>
      <w:r w:rsidR="00BB11A4" w:rsidRPr="00270E8E">
        <w:rPr>
          <w:rFonts w:cstheme="minorHAnsi"/>
        </w:rPr>
        <w:t>moneda nacional</w:t>
      </w:r>
      <w:r w:rsidRPr="00270E8E">
        <w:rPr>
          <w:rFonts w:cstheme="minorHAnsi"/>
        </w:rPr>
        <w:t xml:space="preserve"> de</w:t>
      </w:r>
      <w:r w:rsidR="00F854FF" w:rsidRPr="00270E8E">
        <w:rPr>
          <w:rFonts w:cstheme="minorHAnsi"/>
        </w:rPr>
        <w:t xml:space="preserve"> cada </w:t>
      </w:r>
      <w:r w:rsidR="00B325A5" w:rsidRPr="00270E8E">
        <w:rPr>
          <w:rFonts w:cstheme="minorHAnsi"/>
        </w:rPr>
        <w:t xml:space="preserve">cuota mensual </w:t>
      </w:r>
      <w:r w:rsidR="00BB11A4" w:rsidRPr="00270E8E">
        <w:rPr>
          <w:rFonts w:cstheme="minorHAnsi"/>
        </w:rPr>
        <w:t>se efectuará</w:t>
      </w:r>
      <w:r w:rsidR="003A242E" w:rsidRPr="00270E8E">
        <w:rPr>
          <w:rFonts w:cstheme="minorHAnsi"/>
        </w:rPr>
        <w:t xml:space="preserve"> considerando </w:t>
      </w:r>
      <w:r w:rsidR="004354BC" w:rsidRPr="00270E8E">
        <w:rPr>
          <w:rFonts w:cstheme="minorHAnsi"/>
        </w:rPr>
        <w:t>el dólar observado de los Estados Unidos de América publicado por el Banco Central de Chile</w:t>
      </w:r>
      <w:r w:rsidR="002A792D" w:rsidRPr="00270E8E">
        <w:rPr>
          <w:rFonts w:cstheme="minorHAnsi"/>
        </w:rPr>
        <w:t>,</w:t>
      </w:r>
      <w:r w:rsidR="004354BC" w:rsidRPr="00270E8E">
        <w:rPr>
          <w:rFonts w:cstheme="minorHAnsi"/>
        </w:rPr>
        <w:t xml:space="preserve"> del mismo día del mes del dólar de referencia de la primera cuota</w:t>
      </w:r>
      <w:r w:rsidR="002A792D" w:rsidRPr="00270E8E">
        <w:rPr>
          <w:rFonts w:cstheme="minorHAnsi"/>
        </w:rPr>
        <w:t xml:space="preserve"> mensual</w:t>
      </w:r>
      <w:r w:rsidR="004354BC" w:rsidRPr="00270E8E">
        <w:rPr>
          <w:rFonts w:cstheme="minorHAnsi"/>
        </w:rPr>
        <w:t>, o el día hábil siguiente si éste resultara un día inhábil</w:t>
      </w:r>
      <w:r w:rsidR="00270E8E">
        <w:rPr>
          <w:rFonts w:cstheme="minorHAnsi"/>
        </w:rPr>
        <w:t>.</w:t>
      </w:r>
    </w:p>
    <w:p w14:paraId="171A8C2F" w14:textId="384D1E7C" w:rsidR="00270E8E" w:rsidRDefault="001E1FCA" w:rsidP="00B2178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1E1FCA">
        <w:rPr>
          <w:rFonts w:cstheme="minorHAnsi"/>
        </w:rPr>
        <w:t>Las facturas de las restantes cuotas deberán ser emitidas por los Suministradores, en el mismo día del mes de la primera factura, o el día hábil siguiente si éste resultara un día inhábil</w:t>
      </w:r>
      <w:r>
        <w:rPr>
          <w:rFonts w:cstheme="minorHAnsi"/>
        </w:rPr>
        <w:t>.</w:t>
      </w:r>
      <w:r w:rsidR="00CD2642">
        <w:rPr>
          <w:rFonts w:cstheme="minorHAnsi"/>
        </w:rPr>
        <w:t xml:space="preserve"> </w:t>
      </w:r>
      <w:r w:rsidR="005D4D60" w:rsidRPr="005D4D60">
        <w:rPr>
          <w:rFonts w:cstheme="minorHAnsi"/>
        </w:rPr>
        <w:t>En el mismo plazo, deberán informar a las distribuidoras y al Coordinador el resultado de las correspondientes cesiones de facturas registradas en el SII.</w:t>
      </w:r>
    </w:p>
    <w:p w14:paraId="15C3C81C" w14:textId="7C3D1419" w:rsidR="001E1FCA" w:rsidRDefault="005D4D60" w:rsidP="00B2178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A más tardar</w:t>
      </w:r>
      <w:r w:rsidR="002C2F75">
        <w:rPr>
          <w:rFonts w:cstheme="minorHAnsi"/>
        </w:rPr>
        <w:t>,</w:t>
      </w:r>
      <w:r>
        <w:rPr>
          <w:rFonts w:cstheme="minorHAnsi"/>
        </w:rPr>
        <w:t xml:space="preserve"> el segundo día hábil desde l</w:t>
      </w:r>
      <w:r w:rsidR="00DF15A9">
        <w:rPr>
          <w:rFonts w:cstheme="minorHAnsi"/>
        </w:rPr>
        <w:t xml:space="preserve">a emisión de facturas por parte de los Suministradores, el Coordinador </w:t>
      </w:r>
      <w:r w:rsidR="00DF15A9" w:rsidRPr="00DF15A9">
        <w:rPr>
          <w:rFonts w:cstheme="minorHAnsi"/>
        </w:rPr>
        <w:t>comunicará a TGR la Nómina de Pago de Saldos PEC correctamente verificados</w:t>
      </w:r>
      <w:r w:rsidR="00DF15A9">
        <w:rPr>
          <w:rFonts w:cstheme="minorHAnsi"/>
        </w:rPr>
        <w:t xml:space="preserve">. </w:t>
      </w:r>
    </w:p>
    <w:p w14:paraId="3FEC46F6" w14:textId="4E38F57F" w:rsidR="008937EF" w:rsidRPr="001E1FCA" w:rsidRDefault="008937EF" w:rsidP="00B2178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 más tardar</w:t>
      </w:r>
      <w:r w:rsidR="002C2F75">
        <w:rPr>
          <w:rFonts w:cstheme="minorHAnsi"/>
        </w:rPr>
        <w:t>,</w:t>
      </w:r>
      <w:r>
        <w:rPr>
          <w:rFonts w:cstheme="minorHAnsi"/>
        </w:rPr>
        <w:t xml:space="preserve"> el tercer día hábil desde la emisión de facturas por parte de los Suministradores, </w:t>
      </w:r>
      <w:r w:rsidRPr="008937EF">
        <w:rPr>
          <w:rFonts w:cstheme="minorHAnsi"/>
        </w:rPr>
        <w:t>las empresas Distribuidoras, y la TGR en representación de las Distribuidoras, harán efectivos los pagos de Saldos PEC a las respectivas empresas suministradoras y cesionarias.</w:t>
      </w:r>
    </w:p>
    <w:p w14:paraId="06ED6B1E" w14:textId="050F8033" w:rsidR="00E01BD9" w:rsidRPr="00E26655" w:rsidRDefault="00E26655" w:rsidP="00E26655">
      <w:pPr>
        <w:pStyle w:val="Ttulo1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color w:val="000000" w:themeColor="text1"/>
        </w:rPr>
      </w:pPr>
      <w:bookmarkStart w:id="12" w:name="_Toc185370870"/>
      <w:r>
        <w:rPr>
          <w:b/>
          <w:bCs/>
          <w:color w:val="000000" w:themeColor="text1"/>
        </w:rPr>
        <w:t>V</w:t>
      </w:r>
      <w:r w:rsidR="00E01BD9" w:rsidRPr="00E26655">
        <w:rPr>
          <w:b/>
          <w:bCs/>
          <w:color w:val="000000" w:themeColor="text1"/>
        </w:rPr>
        <w:t>igencia</w:t>
      </w:r>
      <w:bookmarkEnd w:id="12"/>
    </w:p>
    <w:p w14:paraId="0919648F" w14:textId="5526E046" w:rsidR="00E01BD9" w:rsidRPr="00E01BD9" w:rsidRDefault="00E01BD9" w:rsidP="00D12BB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490DD5">
        <w:rPr>
          <w:rFonts w:cstheme="minorHAnsi"/>
        </w:rPr>
        <w:t>El</w:t>
      </w:r>
      <w:r w:rsidR="002757EC">
        <w:rPr>
          <w:rFonts w:cstheme="minorHAnsi"/>
        </w:rPr>
        <w:t xml:space="preserve"> presente </w:t>
      </w:r>
      <w:r w:rsidR="006835A9">
        <w:rPr>
          <w:rFonts w:cstheme="minorHAnsi"/>
        </w:rPr>
        <w:t>instructivo</w:t>
      </w:r>
      <w:r w:rsidRPr="00490DD5">
        <w:rPr>
          <w:rFonts w:cstheme="minorHAnsi"/>
        </w:rPr>
        <w:t xml:space="preserve"> </w:t>
      </w:r>
      <w:r w:rsidR="002757EC" w:rsidRPr="00490DD5">
        <w:rPr>
          <w:rFonts w:cstheme="minorHAnsi"/>
        </w:rPr>
        <w:t>entrará en vig</w:t>
      </w:r>
      <w:r w:rsidR="002757EC">
        <w:rPr>
          <w:rFonts w:cstheme="minorHAnsi"/>
        </w:rPr>
        <w:t>or</w:t>
      </w:r>
      <w:r w:rsidRPr="00490DD5">
        <w:rPr>
          <w:rFonts w:cstheme="minorHAnsi"/>
        </w:rPr>
        <w:t xml:space="preserve"> desde su publicación</w:t>
      </w:r>
      <w:r w:rsidR="00DC3B06">
        <w:rPr>
          <w:rFonts w:cstheme="minorHAnsi"/>
        </w:rPr>
        <w:t xml:space="preserve"> para </w:t>
      </w:r>
      <w:r w:rsidR="00E52E2C">
        <w:rPr>
          <w:rFonts w:cstheme="minorHAnsi"/>
        </w:rPr>
        <w:t>su uso en el proceso correspondiente al primer semestre de 2025</w:t>
      </w:r>
      <w:r w:rsidR="002757EC">
        <w:rPr>
          <w:rFonts w:cstheme="minorHAnsi"/>
        </w:rPr>
        <w:t xml:space="preserve">, y se mantendrá </w:t>
      </w:r>
      <w:r w:rsidR="00DC3B06">
        <w:rPr>
          <w:rFonts w:cstheme="minorHAnsi"/>
        </w:rPr>
        <w:t xml:space="preserve">actualizado en la web del Coordinador. </w:t>
      </w:r>
    </w:p>
    <w:sectPr w:rsidR="00E01BD9" w:rsidRPr="00E01BD9" w:rsidSect="00B00F3A"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D1F84" w14:textId="77777777" w:rsidR="00C663EC" w:rsidRDefault="00C663EC" w:rsidP="00B00F3A">
      <w:pPr>
        <w:spacing w:after="0" w:line="240" w:lineRule="auto"/>
      </w:pPr>
      <w:r>
        <w:separator/>
      </w:r>
    </w:p>
  </w:endnote>
  <w:endnote w:type="continuationSeparator" w:id="0">
    <w:p w14:paraId="24AF88A0" w14:textId="77777777" w:rsidR="00C663EC" w:rsidRDefault="00C663EC" w:rsidP="00B00F3A">
      <w:pPr>
        <w:spacing w:after="0" w:line="240" w:lineRule="auto"/>
      </w:pPr>
      <w:r>
        <w:continuationSeparator/>
      </w:r>
    </w:p>
  </w:endnote>
  <w:endnote w:type="continuationNotice" w:id="1">
    <w:p w14:paraId="4A4C995A" w14:textId="77777777" w:rsidR="00C663EC" w:rsidRDefault="00C66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BB40" w14:textId="77777777" w:rsidR="00103826" w:rsidRDefault="0010382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715EB26" w14:textId="77777777" w:rsidR="00C21134" w:rsidRDefault="00C21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18FD5" w14:textId="77777777" w:rsidR="00C663EC" w:rsidRDefault="00C663EC" w:rsidP="00B00F3A">
      <w:pPr>
        <w:spacing w:after="0" w:line="240" w:lineRule="auto"/>
      </w:pPr>
      <w:r>
        <w:separator/>
      </w:r>
    </w:p>
  </w:footnote>
  <w:footnote w:type="continuationSeparator" w:id="0">
    <w:p w14:paraId="49B4BAF7" w14:textId="77777777" w:rsidR="00C663EC" w:rsidRDefault="00C663EC" w:rsidP="00B00F3A">
      <w:pPr>
        <w:spacing w:after="0" w:line="240" w:lineRule="auto"/>
      </w:pPr>
      <w:r>
        <w:continuationSeparator/>
      </w:r>
    </w:p>
  </w:footnote>
  <w:footnote w:type="continuationNotice" w:id="1">
    <w:p w14:paraId="74B92C0C" w14:textId="77777777" w:rsidR="00C663EC" w:rsidRDefault="00C66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DA05" w14:textId="444B95E7" w:rsidR="00C21134" w:rsidRDefault="00C21134" w:rsidP="00F94B0C">
    <w:pPr>
      <w:pStyle w:val="Encabezado"/>
      <w:tabs>
        <w:tab w:val="clear" w:pos="8838"/>
        <w:tab w:val="left" w:pos="3000"/>
        <w:tab w:val="left" w:pos="6624"/>
      </w:tabs>
    </w:pPr>
    <w:r w:rsidRPr="00AC4371">
      <w:rPr>
        <w:noProof/>
      </w:rPr>
      <w:drawing>
        <wp:anchor distT="0" distB="0" distL="114300" distR="114300" simplePos="0" relativeHeight="251658241" behindDoc="1" locked="0" layoutInCell="1" allowOverlap="1" wp14:anchorId="0C60198F" wp14:editId="7507C7F4">
          <wp:simplePos x="0" y="0"/>
          <wp:positionH relativeFrom="column">
            <wp:posOffset>5060414</wp:posOffset>
          </wp:positionH>
          <wp:positionV relativeFrom="paragraph">
            <wp:posOffset>-266699</wp:posOffset>
          </wp:positionV>
          <wp:extent cx="1168400" cy="71041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229" cy="71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0507" w14:textId="08F1F4E2" w:rsidR="00C21134" w:rsidRDefault="00C21134">
    <w:pPr>
      <w:pStyle w:val="Encabezado"/>
    </w:pPr>
    <w:r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826DE67" wp14:editId="60B0D8C6">
          <wp:simplePos x="0" y="0"/>
          <wp:positionH relativeFrom="page">
            <wp:align>right</wp:align>
          </wp:positionH>
          <wp:positionV relativeFrom="margin">
            <wp:posOffset>-877570</wp:posOffset>
          </wp:positionV>
          <wp:extent cx="7772400" cy="10058400"/>
          <wp:effectExtent l="0" t="0" r="0" b="0"/>
          <wp:wrapNone/>
          <wp:docPr id="23" name="Imagen 23" descr="PLANTILLA 4 DOCUMENTO COORDINADOR ELECTRICO NA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PLANTILLA 4 DOCUMENTO COORDINADOR ELECTRICO NA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9B9"/>
    <w:multiLevelType w:val="hybridMultilevel"/>
    <w:tmpl w:val="3C1A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3221"/>
    <w:multiLevelType w:val="hybridMultilevel"/>
    <w:tmpl w:val="C77EB762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1948"/>
    <w:multiLevelType w:val="hybridMultilevel"/>
    <w:tmpl w:val="D8BE87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18AA"/>
    <w:multiLevelType w:val="hybridMultilevel"/>
    <w:tmpl w:val="E74E58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45C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4B2A3D"/>
    <w:multiLevelType w:val="hybridMultilevel"/>
    <w:tmpl w:val="47283D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857B0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FC3087"/>
    <w:multiLevelType w:val="hybridMultilevel"/>
    <w:tmpl w:val="CD9A17F0"/>
    <w:lvl w:ilvl="0" w:tplc="A6904F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C54D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D63D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DD69C6"/>
    <w:multiLevelType w:val="hybridMultilevel"/>
    <w:tmpl w:val="4144455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C2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8472739">
    <w:abstractNumId w:val="11"/>
  </w:num>
  <w:num w:numId="2" w16cid:durableId="1683051955">
    <w:abstractNumId w:val="0"/>
  </w:num>
  <w:num w:numId="3" w16cid:durableId="917666775">
    <w:abstractNumId w:val="5"/>
  </w:num>
  <w:num w:numId="4" w16cid:durableId="1788503355">
    <w:abstractNumId w:val="1"/>
  </w:num>
  <w:num w:numId="5" w16cid:durableId="947467892">
    <w:abstractNumId w:val="3"/>
  </w:num>
  <w:num w:numId="6" w16cid:durableId="380523470">
    <w:abstractNumId w:val="7"/>
  </w:num>
  <w:num w:numId="7" w16cid:durableId="115876021">
    <w:abstractNumId w:val="10"/>
  </w:num>
  <w:num w:numId="8" w16cid:durableId="565265888">
    <w:abstractNumId w:val="2"/>
  </w:num>
  <w:num w:numId="9" w16cid:durableId="502430724">
    <w:abstractNumId w:val="8"/>
  </w:num>
  <w:num w:numId="10" w16cid:durableId="428161655">
    <w:abstractNumId w:val="9"/>
  </w:num>
  <w:num w:numId="11" w16cid:durableId="77943361">
    <w:abstractNumId w:val="6"/>
  </w:num>
  <w:num w:numId="12" w16cid:durableId="167222139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91"/>
    <w:rsid w:val="00000554"/>
    <w:rsid w:val="00001C7C"/>
    <w:rsid w:val="00006529"/>
    <w:rsid w:val="00007B2C"/>
    <w:rsid w:val="000137AE"/>
    <w:rsid w:val="0001468E"/>
    <w:rsid w:val="0001475B"/>
    <w:rsid w:val="000159A4"/>
    <w:rsid w:val="00016673"/>
    <w:rsid w:val="00022DBC"/>
    <w:rsid w:val="000253B4"/>
    <w:rsid w:val="0002630C"/>
    <w:rsid w:val="00032F87"/>
    <w:rsid w:val="00035FE1"/>
    <w:rsid w:val="000360A5"/>
    <w:rsid w:val="000370CC"/>
    <w:rsid w:val="000408D5"/>
    <w:rsid w:val="000408FF"/>
    <w:rsid w:val="000413EC"/>
    <w:rsid w:val="00045650"/>
    <w:rsid w:val="00045C27"/>
    <w:rsid w:val="0004680A"/>
    <w:rsid w:val="00047458"/>
    <w:rsid w:val="00051E5B"/>
    <w:rsid w:val="0005505F"/>
    <w:rsid w:val="0005730D"/>
    <w:rsid w:val="00057BF9"/>
    <w:rsid w:val="00060F2F"/>
    <w:rsid w:val="00066EA6"/>
    <w:rsid w:val="00067C54"/>
    <w:rsid w:val="00067CBA"/>
    <w:rsid w:val="000756EE"/>
    <w:rsid w:val="0008188D"/>
    <w:rsid w:val="00081C45"/>
    <w:rsid w:val="00083D8F"/>
    <w:rsid w:val="00083E67"/>
    <w:rsid w:val="000849BE"/>
    <w:rsid w:val="00093F84"/>
    <w:rsid w:val="0009491A"/>
    <w:rsid w:val="000A6839"/>
    <w:rsid w:val="000B0885"/>
    <w:rsid w:val="000B1FA4"/>
    <w:rsid w:val="000B32B0"/>
    <w:rsid w:val="000B5DAF"/>
    <w:rsid w:val="000B668B"/>
    <w:rsid w:val="000C1A05"/>
    <w:rsid w:val="000C3C9F"/>
    <w:rsid w:val="000C4D69"/>
    <w:rsid w:val="000C5307"/>
    <w:rsid w:val="000D4A98"/>
    <w:rsid w:val="000D6E1B"/>
    <w:rsid w:val="000D7A3F"/>
    <w:rsid w:val="000E01AB"/>
    <w:rsid w:val="000E0DEB"/>
    <w:rsid w:val="000E259B"/>
    <w:rsid w:val="000E44DC"/>
    <w:rsid w:val="000E58B0"/>
    <w:rsid w:val="000E7759"/>
    <w:rsid w:val="000F1594"/>
    <w:rsid w:val="000F2A0D"/>
    <w:rsid w:val="000F304E"/>
    <w:rsid w:val="000F31FF"/>
    <w:rsid w:val="000F32A3"/>
    <w:rsid w:val="000F7E39"/>
    <w:rsid w:val="00100420"/>
    <w:rsid w:val="00101E56"/>
    <w:rsid w:val="001032C9"/>
    <w:rsid w:val="00103826"/>
    <w:rsid w:val="001039CA"/>
    <w:rsid w:val="00104DBB"/>
    <w:rsid w:val="001112FC"/>
    <w:rsid w:val="0011394F"/>
    <w:rsid w:val="0011430A"/>
    <w:rsid w:val="00114814"/>
    <w:rsid w:val="00120951"/>
    <w:rsid w:val="001229E8"/>
    <w:rsid w:val="00124538"/>
    <w:rsid w:val="00125220"/>
    <w:rsid w:val="00125AB7"/>
    <w:rsid w:val="00126232"/>
    <w:rsid w:val="00127E1D"/>
    <w:rsid w:val="0013027C"/>
    <w:rsid w:val="00132A68"/>
    <w:rsid w:val="00132EBB"/>
    <w:rsid w:val="001335E8"/>
    <w:rsid w:val="0013371B"/>
    <w:rsid w:val="00135685"/>
    <w:rsid w:val="00135BAD"/>
    <w:rsid w:val="0013699B"/>
    <w:rsid w:val="00137189"/>
    <w:rsid w:val="0013744C"/>
    <w:rsid w:val="00137FE8"/>
    <w:rsid w:val="00141787"/>
    <w:rsid w:val="00144BAC"/>
    <w:rsid w:val="00146B9A"/>
    <w:rsid w:val="00147F3C"/>
    <w:rsid w:val="0015094E"/>
    <w:rsid w:val="00151649"/>
    <w:rsid w:val="0015257A"/>
    <w:rsid w:val="00152E4B"/>
    <w:rsid w:val="00153079"/>
    <w:rsid w:val="00154EE2"/>
    <w:rsid w:val="0015744C"/>
    <w:rsid w:val="00160D80"/>
    <w:rsid w:val="00162637"/>
    <w:rsid w:val="00163457"/>
    <w:rsid w:val="0016736B"/>
    <w:rsid w:val="001701CA"/>
    <w:rsid w:val="00170861"/>
    <w:rsid w:val="00174E7D"/>
    <w:rsid w:val="0017669A"/>
    <w:rsid w:val="00176C21"/>
    <w:rsid w:val="00181B7D"/>
    <w:rsid w:val="001845A0"/>
    <w:rsid w:val="00184732"/>
    <w:rsid w:val="00184B78"/>
    <w:rsid w:val="001863F9"/>
    <w:rsid w:val="00186746"/>
    <w:rsid w:val="0019199F"/>
    <w:rsid w:val="00195AAF"/>
    <w:rsid w:val="0019677E"/>
    <w:rsid w:val="00196FC2"/>
    <w:rsid w:val="001A0F29"/>
    <w:rsid w:val="001A21D5"/>
    <w:rsid w:val="001B1E9E"/>
    <w:rsid w:val="001B2CC1"/>
    <w:rsid w:val="001B35FF"/>
    <w:rsid w:val="001C4738"/>
    <w:rsid w:val="001C5335"/>
    <w:rsid w:val="001C5811"/>
    <w:rsid w:val="001D075C"/>
    <w:rsid w:val="001D0A1D"/>
    <w:rsid w:val="001D219A"/>
    <w:rsid w:val="001D457B"/>
    <w:rsid w:val="001D46BB"/>
    <w:rsid w:val="001D4DF7"/>
    <w:rsid w:val="001D4F06"/>
    <w:rsid w:val="001D5B56"/>
    <w:rsid w:val="001E10DF"/>
    <w:rsid w:val="001E13D3"/>
    <w:rsid w:val="001E1FCA"/>
    <w:rsid w:val="001E6B1A"/>
    <w:rsid w:val="001E704E"/>
    <w:rsid w:val="001F0AED"/>
    <w:rsid w:val="001F16C7"/>
    <w:rsid w:val="0020385C"/>
    <w:rsid w:val="002054A1"/>
    <w:rsid w:val="00210663"/>
    <w:rsid w:val="00215470"/>
    <w:rsid w:val="00216F2C"/>
    <w:rsid w:val="0022223C"/>
    <w:rsid w:val="0022567F"/>
    <w:rsid w:val="002260A0"/>
    <w:rsid w:val="00227552"/>
    <w:rsid w:val="00230FE2"/>
    <w:rsid w:val="002317BC"/>
    <w:rsid w:val="0023290E"/>
    <w:rsid w:val="00234644"/>
    <w:rsid w:val="00234A55"/>
    <w:rsid w:val="00234DF9"/>
    <w:rsid w:val="00236485"/>
    <w:rsid w:val="00241C27"/>
    <w:rsid w:val="00244792"/>
    <w:rsid w:val="00247838"/>
    <w:rsid w:val="0025181C"/>
    <w:rsid w:val="00252366"/>
    <w:rsid w:val="0025361F"/>
    <w:rsid w:val="002553B1"/>
    <w:rsid w:val="00255ED8"/>
    <w:rsid w:val="0025673F"/>
    <w:rsid w:val="00256B9E"/>
    <w:rsid w:val="00262F56"/>
    <w:rsid w:val="00263E26"/>
    <w:rsid w:val="00264382"/>
    <w:rsid w:val="00265281"/>
    <w:rsid w:val="00266250"/>
    <w:rsid w:val="00266E49"/>
    <w:rsid w:val="00270E8E"/>
    <w:rsid w:val="00271B7F"/>
    <w:rsid w:val="00272939"/>
    <w:rsid w:val="00272DCD"/>
    <w:rsid w:val="00273799"/>
    <w:rsid w:val="00273A92"/>
    <w:rsid w:val="002757EC"/>
    <w:rsid w:val="00275A62"/>
    <w:rsid w:val="00276E1C"/>
    <w:rsid w:val="00277385"/>
    <w:rsid w:val="00280E96"/>
    <w:rsid w:val="00282FFC"/>
    <w:rsid w:val="00283545"/>
    <w:rsid w:val="00286707"/>
    <w:rsid w:val="00286C9B"/>
    <w:rsid w:val="00291A2A"/>
    <w:rsid w:val="00292286"/>
    <w:rsid w:val="002936C0"/>
    <w:rsid w:val="00294BAD"/>
    <w:rsid w:val="00296D6C"/>
    <w:rsid w:val="002A2E77"/>
    <w:rsid w:val="002A3B62"/>
    <w:rsid w:val="002A430A"/>
    <w:rsid w:val="002A792D"/>
    <w:rsid w:val="002B08F5"/>
    <w:rsid w:val="002B1336"/>
    <w:rsid w:val="002B5C66"/>
    <w:rsid w:val="002B627A"/>
    <w:rsid w:val="002C0CA9"/>
    <w:rsid w:val="002C1220"/>
    <w:rsid w:val="002C2F75"/>
    <w:rsid w:val="002C36CB"/>
    <w:rsid w:val="002C6CB2"/>
    <w:rsid w:val="002D6F51"/>
    <w:rsid w:val="002E07D5"/>
    <w:rsid w:val="002E162D"/>
    <w:rsid w:val="002E17F5"/>
    <w:rsid w:val="002E1B32"/>
    <w:rsid w:val="002E5426"/>
    <w:rsid w:val="002E64D5"/>
    <w:rsid w:val="002F1294"/>
    <w:rsid w:val="00300419"/>
    <w:rsid w:val="00303CEA"/>
    <w:rsid w:val="00304082"/>
    <w:rsid w:val="00304D39"/>
    <w:rsid w:val="003055C8"/>
    <w:rsid w:val="003059AE"/>
    <w:rsid w:val="00310AAD"/>
    <w:rsid w:val="00312BE3"/>
    <w:rsid w:val="0031475B"/>
    <w:rsid w:val="0031516E"/>
    <w:rsid w:val="0031622A"/>
    <w:rsid w:val="003162A3"/>
    <w:rsid w:val="00317147"/>
    <w:rsid w:val="00317886"/>
    <w:rsid w:val="00317A02"/>
    <w:rsid w:val="0032173D"/>
    <w:rsid w:val="00330F9C"/>
    <w:rsid w:val="00331C9F"/>
    <w:rsid w:val="00332A91"/>
    <w:rsid w:val="00332EF6"/>
    <w:rsid w:val="00335667"/>
    <w:rsid w:val="00335A6F"/>
    <w:rsid w:val="00337E63"/>
    <w:rsid w:val="0034244C"/>
    <w:rsid w:val="00343CD0"/>
    <w:rsid w:val="00346740"/>
    <w:rsid w:val="0034704B"/>
    <w:rsid w:val="003477D6"/>
    <w:rsid w:val="00350269"/>
    <w:rsid w:val="0035179C"/>
    <w:rsid w:val="003629E8"/>
    <w:rsid w:val="00364D06"/>
    <w:rsid w:val="00364EE0"/>
    <w:rsid w:val="00374098"/>
    <w:rsid w:val="003757E1"/>
    <w:rsid w:val="003828B7"/>
    <w:rsid w:val="0038399A"/>
    <w:rsid w:val="00386188"/>
    <w:rsid w:val="00387D91"/>
    <w:rsid w:val="00391B95"/>
    <w:rsid w:val="00391EE3"/>
    <w:rsid w:val="00394904"/>
    <w:rsid w:val="00396065"/>
    <w:rsid w:val="003A242E"/>
    <w:rsid w:val="003A3D50"/>
    <w:rsid w:val="003A4FD4"/>
    <w:rsid w:val="003A5471"/>
    <w:rsid w:val="003A5E85"/>
    <w:rsid w:val="003A702C"/>
    <w:rsid w:val="003A7389"/>
    <w:rsid w:val="003A7830"/>
    <w:rsid w:val="003B2873"/>
    <w:rsid w:val="003B48EB"/>
    <w:rsid w:val="003B6902"/>
    <w:rsid w:val="003B697D"/>
    <w:rsid w:val="003C22E7"/>
    <w:rsid w:val="003C3BAD"/>
    <w:rsid w:val="003C4FAB"/>
    <w:rsid w:val="003D1E13"/>
    <w:rsid w:val="003D2406"/>
    <w:rsid w:val="003D24DF"/>
    <w:rsid w:val="003D24E2"/>
    <w:rsid w:val="003D3F1C"/>
    <w:rsid w:val="003D4DA2"/>
    <w:rsid w:val="003D4FA4"/>
    <w:rsid w:val="003D74F4"/>
    <w:rsid w:val="003E0C7F"/>
    <w:rsid w:val="003E3F0D"/>
    <w:rsid w:val="003E4EF9"/>
    <w:rsid w:val="003E4F90"/>
    <w:rsid w:val="003E6DE3"/>
    <w:rsid w:val="003F2544"/>
    <w:rsid w:val="003F3358"/>
    <w:rsid w:val="003F4A5A"/>
    <w:rsid w:val="004005C0"/>
    <w:rsid w:val="0040232B"/>
    <w:rsid w:val="0041281B"/>
    <w:rsid w:val="0041711A"/>
    <w:rsid w:val="004217D9"/>
    <w:rsid w:val="004219FD"/>
    <w:rsid w:val="00426179"/>
    <w:rsid w:val="004301FC"/>
    <w:rsid w:val="00430B9C"/>
    <w:rsid w:val="00431B9B"/>
    <w:rsid w:val="0043288E"/>
    <w:rsid w:val="00432E1A"/>
    <w:rsid w:val="00433C4F"/>
    <w:rsid w:val="0043426F"/>
    <w:rsid w:val="004351E7"/>
    <w:rsid w:val="004352F1"/>
    <w:rsid w:val="004354BC"/>
    <w:rsid w:val="00437EA6"/>
    <w:rsid w:val="004407F4"/>
    <w:rsid w:val="00440A16"/>
    <w:rsid w:val="00442E9D"/>
    <w:rsid w:val="00443830"/>
    <w:rsid w:val="00443AD2"/>
    <w:rsid w:val="00443AF1"/>
    <w:rsid w:val="00445B12"/>
    <w:rsid w:val="00451CD5"/>
    <w:rsid w:val="00452BD6"/>
    <w:rsid w:val="00453CB3"/>
    <w:rsid w:val="00453D40"/>
    <w:rsid w:val="00454BE8"/>
    <w:rsid w:val="004568E7"/>
    <w:rsid w:val="0045739F"/>
    <w:rsid w:val="00460BEA"/>
    <w:rsid w:val="00460CFE"/>
    <w:rsid w:val="00462C3E"/>
    <w:rsid w:val="0046344A"/>
    <w:rsid w:val="00466A5E"/>
    <w:rsid w:val="00467C84"/>
    <w:rsid w:val="00470818"/>
    <w:rsid w:val="00470B33"/>
    <w:rsid w:val="0047501F"/>
    <w:rsid w:val="004756F0"/>
    <w:rsid w:val="004775CA"/>
    <w:rsid w:val="00481E3D"/>
    <w:rsid w:val="00482C8B"/>
    <w:rsid w:val="004846C5"/>
    <w:rsid w:val="00484F69"/>
    <w:rsid w:val="004915F5"/>
    <w:rsid w:val="0049187A"/>
    <w:rsid w:val="00491E5F"/>
    <w:rsid w:val="0049364D"/>
    <w:rsid w:val="00496A6E"/>
    <w:rsid w:val="004970A1"/>
    <w:rsid w:val="00497A5E"/>
    <w:rsid w:val="004A002F"/>
    <w:rsid w:val="004A0609"/>
    <w:rsid w:val="004A3D93"/>
    <w:rsid w:val="004A5007"/>
    <w:rsid w:val="004A5CAB"/>
    <w:rsid w:val="004A7F59"/>
    <w:rsid w:val="004B2BD1"/>
    <w:rsid w:val="004B3E15"/>
    <w:rsid w:val="004B4E5C"/>
    <w:rsid w:val="004B6D63"/>
    <w:rsid w:val="004B79C7"/>
    <w:rsid w:val="004C0714"/>
    <w:rsid w:val="004C2454"/>
    <w:rsid w:val="004C3FA2"/>
    <w:rsid w:val="004C444C"/>
    <w:rsid w:val="004C5AB6"/>
    <w:rsid w:val="004C6035"/>
    <w:rsid w:val="004C62FC"/>
    <w:rsid w:val="004C6CB6"/>
    <w:rsid w:val="004C7119"/>
    <w:rsid w:val="004D1FFE"/>
    <w:rsid w:val="004D64A5"/>
    <w:rsid w:val="004D7B0C"/>
    <w:rsid w:val="004D7DD9"/>
    <w:rsid w:val="004E074A"/>
    <w:rsid w:val="004E16C5"/>
    <w:rsid w:val="004E44F3"/>
    <w:rsid w:val="004E46CC"/>
    <w:rsid w:val="004E66C5"/>
    <w:rsid w:val="004F0F9B"/>
    <w:rsid w:val="004F2264"/>
    <w:rsid w:val="004F3906"/>
    <w:rsid w:val="004F467A"/>
    <w:rsid w:val="0050620E"/>
    <w:rsid w:val="005078EE"/>
    <w:rsid w:val="0051087D"/>
    <w:rsid w:val="00512644"/>
    <w:rsid w:val="00513F1B"/>
    <w:rsid w:val="00516360"/>
    <w:rsid w:val="0051771E"/>
    <w:rsid w:val="0051780C"/>
    <w:rsid w:val="005201C0"/>
    <w:rsid w:val="0052532E"/>
    <w:rsid w:val="00526586"/>
    <w:rsid w:val="00526BC2"/>
    <w:rsid w:val="00530CD0"/>
    <w:rsid w:val="005331F8"/>
    <w:rsid w:val="00533F17"/>
    <w:rsid w:val="00534EBE"/>
    <w:rsid w:val="00537BBD"/>
    <w:rsid w:val="005407D8"/>
    <w:rsid w:val="00542B01"/>
    <w:rsid w:val="0054750E"/>
    <w:rsid w:val="00557804"/>
    <w:rsid w:val="00560CF4"/>
    <w:rsid w:val="00562E17"/>
    <w:rsid w:val="00563FEB"/>
    <w:rsid w:val="005658B2"/>
    <w:rsid w:val="005710C5"/>
    <w:rsid w:val="0057160E"/>
    <w:rsid w:val="0057197F"/>
    <w:rsid w:val="005733C7"/>
    <w:rsid w:val="00574CC6"/>
    <w:rsid w:val="005848AC"/>
    <w:rsid w:val="00591630"/>
    <w:rsid w:val="00592026"/>
    <w:rsid w:val="00593FAA"/>
    <w:rsid w:val="005947EB"/>
    <w:rsid w:val="00594AF6"/>
    <w:rsid w:val="005A0FDA"/>
    <w:rsid w:val="005B0EF4"/>
    <w:rsid w:val="005B10BF"/>
    <w:rsid w:val="005B113F"/>
    <w:rsid w:val="005B1D31"/>
    <w:rsid w:val="005B57DA"/>
    <w:rsid w:val="005B66BF"/>
    <w:rsid w:val="005C2267"/>
    <w:rsid w:val="005C4C48"/>
    <w:rsid w:val="005C5D9F"/>
    <w:rsid w:val="005C65B3"/>
    <w:rsid w:val="005C76C0"/>
    <w:rsid w:val="005D1D68"/>
    <w:rsid w:val="005D1EE4"/>
    <w:rsid w:val="005D26FD"/>
    <w:rsid w:val="005D2A66"/>
    <w:rsid w:val="005D39BA"/>
    <w:rsid w:val="005D4D60"/>
    <w:rsid w:val="005D51FA"/>
    <w:rsid w:val="005D6F72"/>
    <w:rsid w:val="005E079C"/>
    <w:rsid w:val="005E0C2A"/>
    <w:rsid w:val="005E2192"/>
    <w:rsid w:val="005E4AA6"/>
    <w:rsid w:val="005F0B4C"/>
    <w:rsid w:val="005F0C29"/>
    <w:rsid w:val="005F1EF9"/>
    <w:rsid w:val="005F6897"/>
    <w:rsid w:val="006022BC"/>
    <w:rsid w:val="00602D88"/>
    <w:rsid w:val="00604568"/>
    <w:rsid w:val="00606A9B"/>
    <w:rsid w:val="006115A6"/>
    <w:rsid w:val="0061223F"/>
    <w:rsid w:val="00615ACE"/>
    <w:rsid w:val="00616206"/>
    <w:rsid w:val="00616A74"/>
    <w:rsid w:val="00616FCB"/>
    <w:rsid w:val="00622669"/>
    <w:rsid w:val="00626151"/>
    <w:rsid w:val="0062700B"/>
    <w:rsid w:val="006276F1"/>
    <w:rsid w:val="00630C87"/>
    <w:rsid w:val="006344C1"/>
    <w:rsid w:val="006345C6"/>
    <w:rsid w:val="006357F6"/>
    <w:rsid w:val="0063604E"/>
    <w:rsid w:val="0064367C"/>
    <w:rsid w:val="00646C14"/>
    <w:rsid w:val="006515FD"/>
    <w:rsid w:val="00651639"/>
    <w:rsid w:val="00654A06"/>
    <w:rsid w:val="00654AE0"/>
    <w:rsid w:val="006624E8"/>
    <w:rsid w:val="00662DBD"/>
    <w:rsid w:val="00663891"/>
    <w:rsid w:val="00665DA0"/>
    <w:rsid w:val="00667B0D"/>
    <w:rsid w:val="00670AEF"/>
    <w:rsid w:val="00671030"/>
    <w:rsid w:val="00672A39"/>
    <w:rsid w:val="00673822"/>
    <w:rsid w:val="006748C2"/>
    <w:rsid w:val="0067688B"/>
    <w:rsid w:val="00676CE2"/>
    <w:rsid w:val="00676FA0"/>
    <w:rsid w:val="0067794E"/>
    <w:rsid w:val="006803C1"/>
    <w:rsid w:val="00680F0C"/>
    <w:rsid w:val="006835A9"/>
    <w:rsid w:val="006864FE"/>
    <w:rsid w:val="0068776D"/>
    <w:rsid w:val="0069343E"/>
    <w:rsid w:val="006936AA"/>
    <w:rsid w:val="00693970"/>
    <w:rsid w:val="006951AD"/>
    <w:rsid w:val="00695B2F"/>
    <w:rsid w:val="006A01EC"/>
    <w:rsid w:val="006A15DE"/>
    <w:rsid w:val="006A24DE"/>
    <w:rsid w:val="006A4663"/>
    <w:rsid w:val="006A512A"/>
    <w:rsid w:val="006A58EA"/>
    <w:rsid w:val="006B3A30"/>
    <w:rsid w:val="006B4A8B"/>
    <w:rsid w:val="006B582F"/>
    <w:rsid w:val="006B5CA5"/>
    <w:rsid w:val="006B5EA4"/>
    <w:rsid w:val="006B6979"/>
    <w:rsid w:val="006B74EE"/>
    <w:rsid w:val="006B79DF"/>
    <w:rsid w:val="006C0859"/>
    <w:rsid w:val="006C12F0"/>
    <w:rsid w:val="006C29B0"/>
    <w:rsid w:val="006C2AB1"/>
    <w:rsid w:val="006C3AFE"/>
    <w:rsid w:val="006C68F0"/>
    <w:rsid w:val="006D041E"/>
    <w:rsid w:val="006D11A6"/>
    <w:rsid w:val="006D359F"/>
    <w:rsid w:val="006E1537"/>
    <w:rsid w:val="006E2AB5"/>
    <w:rsid w:val="006E335A"/>
    <w:rsid w:val="006E5B98"/>
    <w:rsid w:val="006E70F5"/>
    <w:rsid w:val="006F0379"/>
    <w:rsid w:val="006F16FF"/>
    <w:rsid w:val="006F26D2"/>
    <w:rsid w:val="006F6057"/>
    <w:rsid w:val="006F66EC"/>
    <w:rsid w:val="006F7054"/>
    <w:rsid w:val="00700323"/>
    <w:rsid w:val="00701C6C"/>
    <w:rsid w:val="00702978"/>
    <w:rsid w:val="0070463F"/>
    <w:rsid w:val="007051B5"/>
    <w:rsid w:val="00706D81"/>
    <w:rsid w:val="007073B5"/>
    <w:rsid w:val="00712B27"/>
    <w:rsid w:val="007146EC"/>
    <w:rsid w:val="007204B6"/>
    <w:rsid w:val="00723A57"/>
    <w:rsid w:val="00724663"/>
    <w:rsid w:val="0072515B"/>
    <w:rsid w:val="00725E17"/>
    <w:rsid w:val="00725EC2"/>
    <w:rsid w:val="0072771F"/>
    <w:rsid w:val="007309D4"/>
    <w:rsid w:val="007321B5"/>
    <w:rsid w:val="007342E4"/>
    <w:rsid w:val="00735275"/>
    <w:rsid w:val="00737C07"/>
    <w:rsid w:val="00740B29"/>
    <w:rsid w:val="007453A0"/>
    <w:rsid w:val="00745EB1"/>
    <w:rsid w:val="007468C9"/>
    <w:rsid w:val="00747873"/>
    <w:rsid w:val="007522F2"/>
    <w:rsid w:val="00752364"/>
    <w:rsid w:val="00753F75"/>
    <w:rsid w:val="00756778"/>
    <w:rsid w:val="00757395"/>
    <w:rsid w:val="00760D44"/>
    <w:rsid w:val="00763DE7"/>
    <w:rsid w:val="00766771"/>
    <w:rsid w:val="00770E95"/>
    <w:rsid w:val="007710DC"/>
    <w:rsid w:val="00771A8A"/>
    <w:rsid w:val="007772EA"/>
    <w:rsid w:val="00782986"/>
    <w:rsid w:val="00783879"/>
    <w:rsid w:val="007863D3"/>
    <w:rsid w:val="00786FF8"/>
    <w:rsid w:val="00790CC3"/>
    <w:rsid w:val="00791244"/>
    <w:rsid w:val="00791A94"/>
    <w:rsid w:val="00791D94"/>
    <w:rsid w:val="00793DE3"/>
    <w:rsid w:val="00793E47"/>
    <w:rsid w:val="0079413E"/>
    <w:rsid w:val="00794958"/>
    <w:rsid w:val="00794EF7"/>
    <w:rsid w:val="00795B7E"/>
    <w:rsid w:val="007970BC"/>
    <w:rsid w:val="007977A0"/>
    <w:rsid w:val="007A152F"/>
    <w:rsid w:val="007A1F32"/>
    <w:rsid w:val="007A426A"/>
    <w:rsid w:val="007A744C"/>
    <w:rsid w:val="007B5EEA"/>
    <w:rsid w:val="007B7352"/>
    <w:rsid w:val="007B75B9"/>
    <w:rsid w:val="007C357B"/>
    <w:rsid w:val="007C393B"/>
    <w:rsid w:val="007C4D79"/>
    <w:rsid w:val="007C5EE2"/>
    <w:rsid w:val="007C6B8A"/>
    <w:rsid w:val="007D179B"/>
    <w:rsid w:val="007D1B7E"/>
    <w:rsid w:val="007D2120"/>
    <w:rsid w:val="007D3755"/>
    <w:rsid w:val="007D3A1F"/>
    <w:rsid w:val="007D584F"/>
    <w:rsid w:val="007D5CD9"/>
    <w:rsid w:val="007E2C1B"/>
    <w:rsid w:val="007E2D66"/>
    <w:rsid w:val="007E2EC6"/>
    <w:rsid w:val="007E7675"/>
    <w:rsid w:val="007E7A49"/>
    <w:rsid w:val="007F057A"/>
    <w:rsid w:val="007F094A"/>
    <w:rsid w:val="007F1B99"/>
    <w:rsid w:val="007F28E7"/>
    <w:rsid w:val="007F2E1D"/>
    <w:rsid w:val="007F36C2"/>
    <w:rsid w:val="007F5BBB"/>
    <w:rsid w:val="007F62FE"/>
    <w:rsid w:val="007F72C9"/>
    <w:rsid w:val="00800E53"/>
    <w:rsid w:val="00805AA0"/>
    <w:rsid w:val="00805F5F"/>
    <w:rsid w:val="0081073A"/>
    <w:rsid w:val="0081318E"/>
    <w:rsid w:val="00815FB5"/>
    <w:rsid w:val="008208B3"/>
    <w:rsid w:val="0082173A"/>
    <w:rsid w:val="0082190B"/>
    <w:rsid w:val="00822E9C"/>
    <w:rsid w:val="00823082"/>
    <w:rsid w:val="0082570A"/>
    <w:rsid w:val="00826ED7"/>
    <w:rsid w:val="0082778B"/>
    <w:rsid w:val="00831F06"/>
    <w:rsid w:val="00833277"/>
    <w:rsid w:val="00835C42"/>
    <w:rsid w:val="0083696F"/>
    <w:rsid w:val="008371BD"/>
    <w:rsid w:val="00840B24"/>
    <w:rsid w:val="00844196"/>
    <w:rsid w:val="008449A4"/>
    <w:rsid w:val="008450DD"/>
    <w:rsid w:val="008455A9"/>
    <w:rsid w:val="008468C3"/>
    <w:rsid w:val="00851064"/>
    <w:rsid w:val="00852155"/>
    <w:rsid w:val="00852F34"/>
    <w:rsid w:val="00853FA8"/>
    <w:rsid w:val="008554E1"/>
    <w:rsid w:val="00857949"/>
    <w:rsid w:val="00857E0D"/>
    <w:rsid w:val="00860801"/>
    <w:rsid w:val="0086120E"/>
    <w:rsid w:val="00861716"/>
    <w:rsid w:val="0086289C"/>
    <w:rsid w:val="00862EF8"/>
    <w:rsid w:val="008634E9"/>
    <w:rsid w:val="00864EF1"/>
    <w:rsid w:val="0086564D"/>
    <w:rsid w:val="0087024E"/>
    <w:rsid w:val="0087298D"/>
    <w:rsid w:val="00874BC7"/>
    <w:rsid w:val="00876622"/>
    <w:rsid w:val="00881EB7"/>
    <w:rsid w:val="00882DE2"/>
    <w:rsid w:val="008834B4"/>
    <w:rsid w:val="008843EF"/>
    <w:rsid w:val="0088492E"/>
    <w:rsid w:val="00884AEA"/>
    <w:rsid w:val="008852F4"/>
    <w:rsid w:val="008853F0"/>
    <w:rsid w:val="008854D1"/>
    <w:rsid w:val="00885E01"/>
    <w:rsid w:val="00885E2B"/>
    <w:rsid w:val="00885E56"/>
    <w:rsid w:val="00891253"/>
    <w:rsid w:val="00892321"/>
    <w:rsid w:val="008927DE"/>
    <w:rsid w:val="008937EF"/>
    <w:rsid w:val="00897633"/>
    <w:rsid w:val="008A2C12"/>
    <w:rsid w:val="008A38B1"/>
    <w:rsid w:val="008A5153"/>
    <w:rsid w:val="008A5C10"/>
    <w:rsid w:val="008B1B6E"/>
    <w:rsid w:val="008B2189"/>
    <w:rsid w:val="008B47A7"/>
    <w:rsid w:val="008B50BF"/>
    <w:rsid w:val="008B5C3F"/>
    <w:rsid w:val="008B78EB"/>
    <w:rsid w:val="008C10CD"/>
    <w:rsid w:val="008C1131"/>
    <w:rsid w:val="008C1E91"/>
    <w:rsid w:val="008C31DF"/>
    <w:rsid w:val="008C5411"/>
    <w:rsid w:val="008C6822"/>
    <w:rsid w:val="008C7D44"/>
    <w:rsid w:val="008D225B"/>
    <w:rsid w:val="008D24EB"/>
    <w:rsid w:val="008D3631"/>
    <w:rsid w:val="008D6E68"/>
    <w:rsid w:val="008D75B1"/>
    <w:rsid w:val="008E0749"/>
    <w:rsid w:val="008E07B9"/>
    <w:rsid w:val="008E0B5C"/>
    <w:rsid w:val="008E0DD0"/>
    <w:rsid w:val="008E11D1"/>
    <w:rsid w:val="008E4040"/>
    <w:rsid w:val="008E5B82"/>
    <w:rsid w:val="008E7CBA"/>
    <w:rsid w:val="008F0EDE"/>
    <w:rsid w:val="008F113D"/>
    <w:rsid w:val="008F11BA"/>
    <w:rsid w:val="008F53ED"/>
    <w:rsid w:val="008F5E2D"/>
    <w:rsid w:val="008F6AFE"/>
    <w:rsid w:val="00900346"/>
    <w:rsid w:val="009032F7"/>
    <w:rsid w:val="0090556A"/>
    <w:rsid w:val="0090598E"/>
    <w:rsid w:val="009077E3"/>
    <w:rsid w:val="00911A32"/>
    <w:rsid w:val="00911A68"/>
    <w:rsid w:val="00912296"/>
    <w:rsid w:val="009124D7"/>
    <w:rsid w:val="00913D00"/>
    <w:rsid w:val="00913ED0"/>
    <w:rsid w:val="0092029B"/>
    <w:rsid w:val="00920D5C"/>
    <w:rsid w:val="009231DF"/>
    <w:rsid w:val="00926214"/>
    <w:rsid w:val="009312E2"/>
    <w:rsid w:val="00931A74"/>
    <w:rsid w:val="00933812"/>
    <w:rsid w:val="009340EC"/>
    <w:rsid w:val="009376AB"/>
    <w:rsid w:val="0094065A"/>
    <w:rsid w:val="0094092B"/>
    <w:rsid w:val="00943C2A"/>
    <w:rsid w:val="00944A16"/>
    <w:rsid w:val="00944C3F"/>
    <w:rsid w:val="00945C43"/>
    <w:rsid w:val="00946222"/>
    <w:rsid w:val="00946A34"/>
    <w:rsid w:val="00950E3E"/>
    <w:rsid w:val="00955ACB"/>
    <w:rsid w:val="00957C19"/>
    <w:rsid w:val="00957D6B"/>
    <w:rsid w:val="009603A9"/>
    <w:rsid w:val="009625F1"/>
    <w:rsid w:val="00967BE1"/>
    <w:rsid w:val="009718C5"/>
    <w:rsid w:val="009736B9"/>
    <w:rsid w:val="009774B5"/>
    <w:rsid w:val="00986B8E"/>
    <w:rsid w:val="009914A6"/>
    <w:rsid w:val="00992978"/>
    <w:rsid w:val="00994B0E"/>
    <w:rsid w:val="00995A5B"/>
    <w:rsid w:val="00995B82"/>
    <w:rsid w:val="009A2B9E"/>
    <w:rsid w:val="009A4126"/>
    <w:rsid w:val="009A4458"/>
    <w:rsid w:val="009B1A23"/>
    <w:rsid w:val="009B257A"/>
    <w:rsid w:val="009B3EC5"/>
    <w:rsid w:val="009B49BA"/>
    <w:rsid w:val="009B64FB"/>
    <w:rsid w:val="009B714A"/>
    <w:rsid w:val="009C08A4"/>
    <w:rsid w:val="009C2292"/>
    <w:rsid w:val="009C32DE"/>
    <w:rsid w:val="009C715B"/>
    <w:rsid w:val="009C71E9"/>
    <w:rsid w:val="009D2FCC"/>
    <w:rsid w:val="009D30DD"/>
    <w:rsid w:val="009D3F3D"/>
    <w:rsid w:val="009D5C81"/>
    <w:rsid w:val="009D7397"/>
    <w:rsid w:val="009E1BA5"/>
    <w:rsid w:val="009E6ACB"/>
    <w:rsid w:val="009E6CBA"/>
    <w:rsid w:val="00A003E7"/>
    <w:rsid w:val="00A00C08"/>
    <w:rsid w:val="00A0124C"/>
    <w:rsid w:val="00A01535"/>
    <w:rsid w:val="00A03E14"/>
    <w:rsid w:val="00A13A08"/>
    <w:rsid w:val="00A140F2"/>
    <w:rsid w:val="00A14A45"/>
    <w:rsid w:val="00A16D2C"/>
    <w:rsid w:val="00A170AC"/>
    <w:rsid w:val="00A21F07"/>
    <w:rsid w:val="00A25F6E"/>
    <w:rsid w:val="00A27C1A"/>
    <w:rsid w:val="00A30857"/>
    <w:rsid w:val="00A30DD9"/>
    <w:rsid w:val="00A34E22"/>
    <w:rsid w:val="00A35D79"/>
    <w:rsid w:val="00A37574"/>
    <w:rsid w:val="00A40948"/>
    <w:rsid w:val="00A44F55"/>
    <w:rsid w:val="00A52C61"/>
    <w:rsid w:val="00A52DC9"/>
    <w:rsid w:val="00A54337"/>
    <w:rsid w:val="00A5514D"/>
    <w:rsid w:val="00A55580"/>
    <w:rsid w:val="00A56E19"/>
    <w:rsid w:val="00A56E52"/>
    <w:rsid w:val="00A576E7"/>
    <w:rsid w:val="00A61B07"/>
    <w:rsid w:val="00A61DC1"/>
    <w:rsid w:val="00A62D37"/>
    <w:rsid w:val="00A658DD"/>
    <w:rsid w:val="00A735A1"/>
    <w:rsid w:val="00A75154"/>
    <w:rsid w:val="00A7606B"/>
    <w:rsid w:val="00A760F9"/>
    <w:rsid w:val="00A771A8"/>
    <w:rsid w:val="00A8298D"/>
    <w:rsid w:val="00A83413"/>
    <w:rsid w:val="00A838AF"/>
    <w:rsid w:val="00A84093"/>
    <w:rsid w:val="00A84F40"/>
    <w:rsid w:val="00A85ADE"/>
    <w:rsid w:val="00A94BB9"/>
    <w:rsid w:val="00A96FEA"/>
    <w:rsid w:val="00AA07CA"/>
    <w:rsid w:val="00AA0DFD"/>
    <w:rsid w:val="00AA3D2C"/>
    <w:rsid w:val="00AA3F78"/>
    <w:rsid w:val="00AA715E"/>
    <w:rsid w:val="00AB06B6"/>
    <w:rsid w:val="00AB06CC"/>
    <w:rsid w:val="00AB094B"/>
    <w:rsid w:val="00AB31B6"/>
    <w:rsid w:val="00AB53F4"/>
    <w:rsid w:val="00AB56E9"/>
    <w:rsid w:val="00AB5AF9"/>
    <w:rsid w:val="00AB74D5"/>
    <w:rsid w:val="00AB7D21"/>
    <w:rsid w:val="00AC58D2"/>
    <w:rsid w:val="00AC5D37"/>
    <w:rsid w:val="00AC6E12"/>
    <w:rsid w:val="00AD133A"/>
    <w:rsid w:val="00AD286C"/>
    <w:rsid w:val="00AD32FB"/>
    <w:rsid w:val="00AD3EBE"/>
    <w:rsid w:val="00AD4C3D"/>
    <w:rsid w:val="00AE5649"/>
    <w:rsid w:val="00AF291F"/>
    <w:rsid w:val="00AF5586"/>
    <w:rsid w:val="00AF5BDE"/>
    <w:rsid w:val="00B00F3A"/>
    <w:rsid w:val="00B026B3"/>
    <w:rsid w:val="00B04397"/>
    <w:rsid w:val="00B04F4D"/>
    <w:rsid w:val="00B06557"/>
    <w:rsid w:val="00B06D67"/>
    <w:rsid w:val="00B07803"/>
    <w:rsid w:val="00B1108D"/>
    <w:rsid w:val="00B12026"/>
    <w:rsid w:val="00B1245B"/>
    <w:rsid w:val="00B2083C"/>
    <w:rsid w:val="00B22656"/>
    <w:rsid w:val="00B22CD7"/>
    <w:rsid w:val="00B22F06"/>
    <w:rsid w:val="00B240D9"/>
    <w:rsid w:val="00B26BB8"/>
    <w:rsid w:val="00B27C42"/>
    <w:rsid w:val="00B303BD"/>
    <w:rsid w:val="00B325A5"/>
    <w:rsid w:val="00B351F4"/>
    <w:rsid w:val="00B35AD7"/>
    <w:rsid w:val="00B41A3F"/>
    <w:rsid w:val="00B430E6"/>
    <w:rsid w:val="00B43FAE"/>
    <w:rsid w:val="00B44348"/>
    <w:rsid w:val="00B45328"/>
    <w:rsid w:val="00B4542D"/>
    <w:rsid w:val="00B46566"/>
    <w:rsid w:val="00B51246"/>
    <w:rsid w:val="00B517C4"/>
    <w:rsid w:val="00B52291"/>
    <w:rsid w:val="00B53A52"/>
    <w:rsid w:val="00B557B8"/>
    <w:rsid w:val="00B6212C"/>
    <w:rsid w:val="00B62B27"/>
    <w:rsid w:val="00B71680"/>
    <w:rsid w:val="00B725AD"/>
    <w:rsid w:val="00B82422"/>
    <w:rsid w:val="00B847CD"/>
    <w:rsid w:val="00B85DF5"/>
    <w:rsid w:val="00B87FDD"/>
    <w:rsid w:val="00B915FB"/>
    <w:rsid w:val="00B9355D"/>
    <w:rsid w:val="00B94FD0"/>
    <w:rsid w:val="00B96685"/>
    <w:rsid w:val="00BA0FCE"/>
    <w:rsid w:val="00BA285B"/>
    <w:rsid w:val="00BA28F1"/>
    <w:rsid w:val="00BA3428"/>
    <w:rsid w:val="00BA437B"/>
    <w:rsid w:val="00BA5538"/>
    <w:rsid w:val="00BB0E62"/>
    <w:rsid w:val="00BB11A4"/>
    <w:rsid w:val="00BB3FAD"/>
    <w:rsid w:val="00BB524C"/>
    <w:rsid w:val="00BB5698"/>
    <w:rsid w:val="00BB6963"/>
    <w:rsid w:val="00BC72E9"/>
    <w:rsid w:val="00BC735E"/>
    <w:rsid w:val="00BD103C"/>
    <w:rsid w:val="00BD23B9"/>
    <w:rsid w:val="00BD2797"/>
    <w:rsid w:val="00BD3DA2"/>
    <w:rsid w:val="00BD6C9E"/>
    <w:rsid w:val="00BE0B44"/>
    <w:rsid w:val="00BE142E"/>
    <w:rsid w:val="00BE1D2E"/>
    <w:rsid w:val="00BE211D"/>
    <w:rsid w:val="00BF0B81"/>
    <w:rsid w:val="00BF67A0"/>
    <w:rsid w:val="00BF727E"/>
    <w:rsid w:val="00BF7F43"/>
    <w:rsid w:val="00C0178C"/>
    <w:rsid w:val="00C02175"/>
    <w:rsid w:val="00C02A1A"/>
    <w:rsid w:val="00C056E3"/>
    <w:rsid w:val="00C0660A"/>
    <w:rsid w:val="00C07ADA"/>
    <w:rsid w:val="00C07F6B"/>
    <w:rsid w:val="00C1135E"/>
    <w:rsid w:val="00C131EF"/>
    <w:rsid w:val="00C13BD5"/>
    <w:rsid w:val="00C146CA"/>
    <w:rsid w:val="00C1500D"/>
    <w:rsid w:val="00C15092"/>
    <w:rsid w:val="00C1524D"/>
    <w:rsid w:val="00C15F86"/>
    <w:rsid w:val="00C21134"/>
    <w:rsid w:val="00C240A0"/>
    <w:rsid w:val="00C24B67"/>
    <w:rsid w:val="00C2622D"/>
    <w:rsid w:val="00C26ACD"/>
    <w:rsid w:val="00C3052E"/>
    <w:rsid w:val="00C306F0"/>
    <w:rsid w:val="00C3264C"/>
    <w:rsid w:val="00C367C8"/>
    <w:rsid w:val="00C36C15"/>
    <w:rsid w:val="00C36CFB"/>
    <w:rsid w:val="00C40D04"/>
    <w:rsid w:val="00C42738"/>
    <w:rsid w:val="00C43AE6"/>
    <w:rsid w:val="00C43CE3"/>
    <w:rsid w:val="00C4401E"/>
    <w:rsid w:val="00C441FB"/>
    <w:rsid w:val="00C46F60"/>
    <w:rsid w:val="00C50FB1"/>
    <w:rsid w:val="00C52460"/>
    <w:rsid w:val="00C524BA"/>
    <w:rsid w:val="00C53B3D"/>
    <w:rsid w:val="00C56C42"/>
    <w:rsid w:val="00C613A7"/>
    <w:rsid w:val="00C6519E"/>
    <w:rsid w:val="00C65216"/>
    <w:rsid w:val="00C6541F"/>
    <w:rsid w:val="00C663EC"/>
    <w:rsid w:val="00C67490"/>
    <w:rsid w:val="00C7072F"/>
    <w:rsid w:val="00C70CC7"/>
    <w:rsid w:val="00C71625"/>
    <w:rsid w:val="00C7375B"/>
    <w:rsid w:val="00C7419B"/>
    <w:rsid w:val="00C74C4A"/>
    <w:rsid w:val="00C75F57"/>
    <w:rsid w:val="00C77ED8"/>
    <w:rsid w:val="00C82815"/>
    <w:rsid w:val="00C82EEF"/>
    <w:rsid w:val="00C8402E"/>
    <w:rsid w:val="00C8577F"/>
    <w:rsid w:val="00C873D6"/>
    <w:rsid w:val="00C903AA"/>
    <w:rsid w:val="00C91CB8"/>
    <w:rsid w:val="00C92D06"/>
    <w:rsid w:val="00C9492C"/>
    <w:rsid w:val="00CA2411"/>
    <w:rsid w:val="00CA28A8"/>
    <w:rsid w:val="00CA4770"/>
    <w:rsid w:val="00CA4F01"/>
    <w:rsid w:val="00CA5681"/>
    <w:rsid w:val="00CA6686"/>
    <w:rsid w:val="00CB18CD"/>
    <w:rsid w:val="00CB42C6"/>
    <w:rsid w:val="00CB4369"/>
    <w:rsid w:val="00CB48AD"/>
    <w:rsid w:val="00CB6C1B"/>
    <w:rsid w:val="00CB75DE"/>
    <w:rsid w:val="00CB7C05"/>
    <w:rsid w:val="00CC10D0"/>
    <w:rsid w:val="00CC2408"/>
    <w:rsid w:val="00CC2ACE"/>
    <w:rsid w:val="00CC3B0B"/>
    <w:rsid w:val="00CC6175"/>
    <w:rsid w:val="00CD18F8"/>
    <w:rsid w:val="00CD1B33"/>
    <w:rsid w:val="00CD2642"/>
    <w:rsid w:val="00CD2EAA"/>
    <w:rsid w:val="00CD3D15"/>
    <w:rsid w:val="00CE2ED7"/>
    <w:rsid w:val="00CE544E"/>
    <w:rsid w:val="00CF0A31"/>
    <w:rsid w:val="00CF5392"/>
    <w:rsid w:val="00CF66CD"/>
    <w:rsid w:val="00CF773B"/>
    <w:rsid w:val="00D02B6D"/>
    <w:rsid w:val="00D05BB4"/>
    <w:rsid w:val="00D05FB2"/>
    <w:rsid w:val="00D060C6"/>
    <w:rsid w:val="00D1080D"/>
    <w:rsid w:val="00D11F47"/>
    <w:rsid w:val="00D1204F"/>
    <w:rsid w:val="00D12BBE"/>
    <w:rsid w:val="00D14616"/>
    <w:rsid w:val="00D15991"/>
    <w:rsid w:val="00D201C2"/>
    <w:rsid w:val="00D21314"/>
    <w:rsid w:val="00D222FA"/>
    <w:rsid w:val="00D243D4"/>
    <w:rsid w:val="00D251B4"/>
    <w:rsid w:val="00D3116E"/>
    <w:rsid w:val="00D31E8F"/>
    <w:rsid w:val="00D37FA2"/>
    <w:rsid w:val="00D40BB0"/>
    <w:rsid w:val="00D4200D"/>
    <w:rsid w:val="00D42E81"/>
    <w:rsid w:val="00D447A7"/>
    <w:rsid w:val="00D447C3"/>
    <w:rsid w:val="00D46CCC"/>
    <w:rsid w:val="00D512B4"/>
    <w:rsid w:val="00D53A90"/>
    <w:rsid w:val="00D61BD8"/>
    <w:rsid w:val="00D631F6"/>
    <w:rsid w:val="00D63C40"/>
    <w:rsid w:val="00D667AF"/>
    <w:rsid w:val="00D701B5"/>
    <w:rsid w:val="00D70FF8"/>
    <w:rsid w:val="00D74525"/>
    <w:rsid w:val="00D802D2"/>
    <w:rsid w:val="00D81F3D"/>
    <w:rsid w:val="00D82827"/>
    <w:rsid w:val="00D82C4F"/>
    <w:rsid w:val="00D82FEC"/>
    <w:rsid w:val="00D848DA"/>
    <w:rsid w:val="00D84E70"/>
    <w:rsid w:val="00D856F4"/>
    <w:rsid w:val="00D85B6B"/>
    <w:rsid w:val="00D85BE3"/>
    <w:rsid w:val="00D86821"/>
    <w:rsid w:val="00D937E2"/>
    <w:rsid w:val="00D956D5"/>
    <w:rsid w:val="00DA0D6B"/>
    <w:rsid w:val="00DA795D"/>
    <w:rsid w:val="00DA7A7D"/>
    <w:rsid w:val="00DA7F33"/>
    <w:rsid w:val="00DB0227"/>
    <w:rsid w:val="00DB57C4"/>
    <w:rsid w:val="00DB7D9A"/>
    <w:rsid w:val="00DC08DC"/>
    <w:rsid w:val="00DC0A78"/>
    <w:rsid w:val="00DC1425"/>
    <w:rsid w:val="00DC2201"/>
    <w:rsid w:val="00DC3B06"/>
    <w:rsid w:val="00DC4710"/>
    <w:rsid w:val="00DC638E"/>
    <w:rsid w:val="00DC76EC"/>
    <w:rsid w:val="00DD2688"/>
    <w:rsid w:val="00DD4D36"/>
    <w:rsid w:val="00DD6BD0"/>
    <w:rsid w:val="00DE1D1D"/>
    <w:rsid w:val="00DE5422"/>
    <w:rsid w:val="00DE7592"/>
    <w:rsid w:val="00DF14B7"/>
    <w:rsid w:val="00DF15A9"/>
    <w:rsid w:val="00DF1E73"/>
    <w:rsid w:val="00DF241F"/>
    <w:rsid w:val="00DF2718"/>
    <w:rsid w:val="00DF4F75"/>
    <w:rsid w:val="00E01BD9"/>
    <w:rsid w:val="00E045F6"/>
    <w:rsid w:val="00E05276"/>
    <w:rsid w:val="00E06522"/>
    <w:rsid w:val="00E06575"/>
    <w:rsid w:val="00E07367"/>
    <w:rsid w:val="00E163DE"/>
    <w:rsid w:val="00E17F00"/>
    <w:rsid w:val="00E2183E"/>
    <w:rsid w:val="00E2384F"/>
    <w:rsid w:val="00E242E7"/>
    <w:rsid w:val="00E24F08"/>
    <w:rsid w:val="00E25D06"/>
    <w:rsid w:val="00E26655"/>
    <w:rsid w:val="00E27303"/>
    <w:rsid w:val="00E30D82"/>
    <w:rsid w:val="00E3222C"/>
    <w:rsid w:val="00E34B1C"/>
    <w:rsid w:val="00E357EF"/>
    <w:rsid w:val="00E35FB6"/>
    <w:rsid w:val="00E3698C"/>
    <w:rsid w:val="00E36F19"/>
    <w:rsid w:val="00E411FD"/>
    <w:rsid w:val="00E41744"/>
    <w:rsid w:val="00E45D1D"/>
    <w:rsid w:val="00E45D2D"/>
    <w:rsid w:val="00E523A4"/>
    <w:rsid w:val="00E52E2C"/>
    <w:rsid w:val="00E54786"/>
    <w:rsid w:val="00E566F0"/>
    <w:rsid w:val="00E6073F"/>
    <w:rsid w:val="00E607D4"/>
    <w:rsid w:val="00E61A12"/>
    <w:rsid w:val="00E6245C"/>
    <w:rsid w:val="00E64823"/>
    <w:rsid w:val="00E64C39"/>
    <w:rsid w:val="00E6562B"/>
    <w:rsid w:val="00E708FD"/>
    <w:rsid w:val="00E731F9"/>
    <w:rsid w:val="00E73C4D"/>
    <w:rsid w:val="00E75D1E"/>
    <w:rsid w:val="00E81ECE"/>
    <w:rsid w:val="00E820DD"/>
    <w:rsid w:val="00E85AC4"/>
    <w:rsid w:val="00E85BD5"/>
    <w:rsid w:val="00E872E4"/>
    <w:rsid w:val="00E9601D"/>
    <w:rsid w:val="00EA0665"/>
    <w:rsid w:val="00EA075A"/>
    <w:rsid w:val="00EA075B"/>
    <w:rsid w:val="00EA1DC2"/>
    <w:rsid w:val="00EA3225"/>
    <w:rsid w:val="00EA75D1"/>
    <w:rsid w:val="00EB07D2"/>
    <w:rsid w:val="00EB0854"/>
    <w:rsid w:val="00EC0005"/>
    <w:rsid w:val="00EC0303"/>
    <w:rsid w:val="00EC1407"/>
    <w:rsid w:val="00EC288F"/>
    <w:rsid w:val="00EC3CF2"/>
    <w:rsid w:val="00EC481C"/>
    <w:rsid w:val="00EC558F"/>
    <w:rsid w:val="00EC6552"/>
    <w:rsid w:val="00EC719D"/>
    <w:rsid w:val="00ED058D"/>
    <w:rsid w:val="00ED205F"/>
    <w:rsid w:val="00ED29D3"/>
    <w:rsid w:val="00ED338C"/>
    <w:rsid w:val="00ED6253"/>
    <w:rsid w:val="00EE1DC0"/>
    <w:rsid w:val="00EE3C50"/>
    <w:rsid w:val="00EE4168"/>
    <w:rsid w:val="00EE5F01"/>
    <w:rsid w:val="00EE64C1"/>
    <w:rsid w:val="00EE6959"/>
    <w:rsid w:val="00EF0312"/>
    <w:rsid w:val="00EF1535"/>
    <w:rsid w:val="00EF40F3"/>
    <w:rsid w:val="00EF6373"/>
    <w:rsid w:val="00EF65D6"/>
    <w:rsid w:val="00EF6D0A"/>
    <w:rsid w:val="00F001B1"/>
    <w:rsid w:val="00F0105A"/>
    <w:rsid w:val="00F04B84"/>
    <w:rsid w:val="00F06661"/>
    <w:rsid w:val="00F12784"/>
    <w:rsid w:val="00F16B1A"/>
    <w:rsid w:val="00F21F02"/>
    <w:rsid w:val="00F23C4D"/>
    <w:rsid w:val="00F26568"/>
    <w:rsid w:val="00F27F1B"/>
    <w:rsid w:val="00F316B9"/>
    <w:rsid w:val="00F31EEE"/>
    <w:rsid w:val="00F36D11"/>
    <w:rsid w:val="00F42AED"/>
    <w:rsid w:val="00F4332E"/>
    <w:rsid w:val="00F43F20"/>
    <w:rsid w:val="00F44B53"/>
    <w:rsid w:val="00F4571B"/>
    <w:rsid w:val="00F50C90"/>
    <w:rsid w:val="00F54499"/>
    <w:rsid w:val="00F5628E"/>
    <w:rsid w:val="00F563EC"/>
    <w:rsid w:val="00F60ED3"/>
    <w:rsid w:val="00F638DA"/>
    <w:rsid w:val="00F63D2B"/>
    <w:rsid w:val="00F63DE0"/>
    <w:rsid w:val="00F647F0"/>
    <w:rsid w:val="00F64CFA"/>
    <w:rsid w:val="00F650BF"/>
    <w:rsid w:val="00F65AE4"/>
    <w:rsid w:val="00F70800"/>
    <w:rsid w:val="00F70D94"/>
    <w:rsid w:val="00F70E50"/>
    <w:rsid w:val="00F7278A"/>
    <w:rsid w:val="00F76C00"/>
    <w:rsid w:val="00F81B54"/>
    <w:rsid w:val="00F82295"/>
    <w:rsid w:val="00F832DD"/>
    <w:rsid w:val="00F854FF"/>
    <w:rsid w:val="00F85DF1"/>
    <w:rsid w:val="00F860A2"/>
    <w:rsid w:val="00F868C6"/>
    <w:rsid w:val="00F86E0E"/>
    <w:rsid w:val="00F87A7A"/>
    <w:rsid w:val="00F90FF0"/>
    <w:rsid w:val="00F9149B"/>
    <w:rsid w:val="00F94B0C"/>
    <w:rsid w:val="00FA0040"/>
    <w:rsid w:val="00FA3C59"/>
    <w:rsid w:val="00FA5A3B"/>
    <w:rsid w:val="00FA6485"/>
    <w:rsid w:val="00FB1F23"/>
    <w:rsid w:val="00FB4586"/>
    <w:rsid w:val="00FC0D5D"/>
    <w:rsid w:val="00FC16F3"/>
    <w:rsid w:val="00FC486B"/>
    <w:rsid w:val="00FC4FAF"/>
    <w:rsid w:val="00FC6A53"/>
    <w:rsid w:val="00FD587B"/>
    <w:rsid w:val="00FE0D69"/>
    <w:rsid w:val="00FE4483"/>
    <w:rsid w:val="00FE666D"/>
    <w:rsid w:val="00FE7976"/>
    <w:rsid w:val="00FF078A"/>
    <w:rsid w:val="00FF1F92"/>
    <w:rsid w:val="00FF3773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400EB"/>
  <w15:chartTrackingRefBased/>
  <w15:docId w15:val="{BED7414F-4D7F-4A3A-909C-3CCE1B7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78"/>
  </w:style>
  <w:style w:type="paragraph" w:styleId="Ttulo1">
    <w:name w:val="heading 1"/>
    <w:basedOn w:val="Normal"/>
    <w:next w:val="Normal"/>
    <w:link w:val="Ttulo1Car"/>
    <w:uiPriority w:val="9"/>
    <w:qFormat/>
    <w:rsid w:val="00723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13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0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3A"/>
  </w:style>
  <w:style w:type="paragraph" w:styleId="Piedepgina">
    <w:name w:val="footer"/>
    <w:basedOn w:val="Normal"/>
    <w:link w:val="PiedepginaCar"/>
    <w:uiPriority w:val="99"/>
    <w:unhideWhenUsed/>
    <w:rsid w:val="00B00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3A"/>
  </w:style>
  <w:style w:type="character" w:styleId="Hipervnculo">
    <w:name w:val="Hyperlink"/>
    <w:basedOn w:val="Fuentedeprrafopredeter"/>
    <w:uiPriority w:val="99"/>
    <w:unhideWhenUsed/>
    <w:rsid w:val="00F94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4B0C"/>
    <w:rPr>
      <w:color w:val="808080"/>
      <w:shd w:val="clear" w:color="auto" w:fill="E6E6E6"/>
    </w:rPr>
  </w:style>
  <w:style w:type="paragraph" w:styleId="Textoindependiente">
    <w:name w:val="Body Text"/>
    <w:basedOn w:val="Normal"/>
    <w:link w:val="TextoindependienteCar1"/>
    <w:uiPriority w:val="99"/>
    <w:rsid w:val="00F94B0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CL"/>
    </w:rPr>
  </w:style>
  <w:style w:type="character" w:customStyle="1" w:styleId="TextoindependienteCar">
    <w:name w:val="Texto independiente Car"/>
    <w:basedOn w:val="Fuentedeprrafopredeter"/>
    <w:uiPriority w:val="99"/>
    <w:semiHidden/>
    <w:rsid w:val="00F94B0C"/>
  </w:style>
  <w:style w:type="character" w:customStyle="1" w:styleId="TextoindependienteCar1">
    <w:name w:val="Texto independiente Car1"/>
    <w:basedOn w:val="Fuentedeprrafopredeter"/>
    <w:link w:val="Textoindependiente"/>
    <w:uiPriority w:val="99"/>
    <w:locked/>
    <w:rsid w:val="00F94B0C"/>
    <w:rPr>
      <w:rFonts w:ascii="Arial" w:eastAsia="Times New Roman" w:hAnsi="Arial" w:cs="Times New Roman"/>
      <w:sz w:val="20"/>
      <w:szCs w:val="20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72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23A57"/>
    <w:pPr>
      <w:spacing w:before="480" w:line="276" w:lineRule="auto"/>
      <w:outlineLvl w:val="9"/>
    </w:pPr>
    <w:rPr>
      <w:b/>
      <w:bCs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723A57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23A57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23A57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23A57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23A57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23A57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23A57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23A57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23A57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723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88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B7D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7D2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7D21"/>
    <w:rPr>
      <w:rFonts w:ascii="Georgia" w:eastAsia="Georgia" w:hAnsi="Georgia" w:cs="Georgia"/>
      <w:sz w:val="20"/>
      <w:szCs w:val="20"/>
    </w:rPr>
  </w:style>
  <w:style w:type="table" w:styleId="Tablanormal1">
    <w:name w:val="Plain Table 1"/>
    <w:basedOn w:val="Tablanormal"/>
    <w:uiPriority w:val="41"/>
    <w:rsid w:val="00462C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5D6F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00D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500D"/>
    <w:rPr>
      <w:rFonts w:ascii="Georgia" w:eastAsia="Georgia" w:hAnsi="Georgia" w:cs="Georg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91D94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8B50BF"/>
    <w:rPr>
      <w:color w:val="808080"/>
    </w:rPr>
  </w:style>
  <w:style w:type="paragraph" w:customStyle="1" w:styleId="Default">
    <w:name w:val="Default"/>
    <w:rsid w:val="00F65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rdinado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154A-5C0A-4E73-A119-3DEF443D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2109</Words>
  <Characters>11604</Characters>
  <Application>Microsoft Office Word</Application>
  <DocSecurity>4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Links>
    <vt:vector size="84" baseType="variant">
      <vt:variant>
        <vt:i4>1310775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_Toc184418377</vt:lpwstr>
      </vt:variant>
      <vt:variant>
        <vt:i4>1310775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_Toc184418376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_Toc184418375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_Toc184418374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_Toc184418373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_Toc184418372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_Toc184418371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_Toc184418370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_Toc184418369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_Toc184418368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_Toc184418367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_Toc184418366</vt:lpwstr>
      </vt:variant>
      <vt:variant>
        <vt:i4>1376311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_Toc184418365</vt:lpwstr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http://www.coordinador.cl/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Tapia Muñoz</dc:creator>
  <cp:keywords/>
  <dc:description/>
  <cp:lastModifiedBy>Marcelo Bobadilla Morales</cp:lastModifiedBy>
  <cp:revision>2</cp:revision>
  <cp:lastPrinted>2024-12-18T15:17:00Z</cp:lastPrinted>
  <dcterms:created xsi:type="dcterms:W3CDTF">2024-12-18T18:06:00Z</dcterms:created>
  <dcterms:modified xsi:type="dcterms:W3CDTF">2024-12-18T18:06:00Z</dcterms:modified>
</cp:coreProperties>
</file>