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F39AA" w14:textId="2FBF4C08" w:rsidR="00F757AF" w:rsidRDefault="008F5EF2" w:rsidP="002B0FB9">
      <w:pPr>
        <w:jc w:val="center"/>
      </w:pPr>
      <w:bookmarkStart w:id="0" w:name="_Hlk138172040"/>
      <w:bookmarkEnd w:id="0"/>
      <w:r>
        <w:rPr>
          <w:noProof/>
          <w:lang w:eastAsia="es-CL"/>
        </w:rPr>
        <w:drawing>
          <wp:inline distT="0" distB="0" distL="0" distR="0" wp14:anchorId="7F58CAC2" wp14:editId="2986B44A">
            <wp:extent cx="1581150" cy="1571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45574"/>
                    <a:stretch/>
                  </pic:blipFill>
                  <pic:spPr bwMode="auto">
                    <a:xfrm>
                      <a:off x="0" y="0"/>
                      <a:ext cx="158115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1AACA5B4" w14:textId="6C258E41" w:rsidR="00A93C85" w:rsidRDefault="001B3F15" w:rsidP="002B0FB9">
      <w:pPr>
        <w:jc w:val="center"/>
      </w:pPr>
      <w:r>
        <w:rPr>
          <w:noProof/>
          <w:lang w:eastAsia="es-CL"/>
        </w:rPr>
        <w:drawing>
          <wp:inline distT="0" distB="0" distL="0" distR="0" wp14:anchorId="00EA4C3F" wp14:editId="377BBB31">
            <wp:extent cx="3076575" cy="762000"/>
            <wp:effectExtent l="0" t="0" r="0" b="0"/>
            <wp:docPr id="4" name="Imagen 4" descr="Logo MULTICAL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MULTICAL sin fon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762000"/>
                    </a:xfrm>
                    <a:prstGeom prst="rect">
                      <a:avLst/>
                    </a:prstGeom>
                    <a:noFill/>
                    <a:ln>
                      <a:noFill/>
                    </a:ln>
                  </pic:spPr>
                </pic:pic>
              </a:graphicData>
            </a:graphic>
          </wp:inline>
        </w:drawing>
      </w:r>
    </w:p>
    <w:p w14:paraId="1EEB0048" w14:textId="77777777" w:rsidR="001B3F15" w:rsidRPr="006D3B2F" w:rsidRDefault="001B3F15" w:rsidP="002030D6">
      <w:pPr>
        <w:jc w:val="both"/>
      </w:pPr>
    </w:p>
    <w:tbl>
      <w:tblPr>
        <w:tblStyle w:val="Tablaconcuadrcula"/>
        <w:tblW w:w="10864" w:type="dxa"/>
        <w:shd w:val="clear" w:color="auto" w:fill="B4C6E7" w:themeFill="accent5" w:themeFillTint="66"/>
        <w:tblLook w:val="04A0" w:firstRow="1" w:lastRow="0" w:firstColumn="1" w:lastColumn="0" w:noHBand="0" w:noVBand="1"/>
      </w:tblPr>
      <w:tblGrid>
        <w:gridCol w:w="10864"/>
      </w:tblGrid>
      <w:tr w:rsidR="001B3F15" w:rsidRPr="006D3B2F" w14:paraId="78FB3753" w14:textId="77777777" w:rsidTr="00AB5F5F">
        <w:trPr>
          <w:trHeight w:val="1844"/>
        </w:trPr>
        <w:tc>
          <w:tcPr>
            <w:tcW w:w="10864" w:type="dxa"/>
            <w:shd w:val="clear" w:color="auto" w:fill="243746"/>
            <w:vAlign w:val="center"/>
          </w:tcPr>
          <w:p w14:paraId="38768BB8" w14:textId="77777777" w:rsidR="001B3F15" w:rsidRPr="00701121" w:rsidRDefault="001B3F15" w:rsidP="002B0FB9">
            <w:pPr>
              <w:jc w:val="center"/>
              <w:rPr>
                <w:sz w:val="32"/>
                <w:szCs w:val="12"/>
              </w:rPr>
            </w:pPr>
          </w:p>
          <w:p w14:paraId="22FCCE3E" w14:textId="1AEE1C5A" w:rsidR="006A5016" w:rsidRPr="00814FCF" w:rsidRDefault="002553EC" w:rsidP="002B0FB9">
            <w:pPr>
              <w:jc w:val="center"/>
              <w:rPr>
                <w:b/>
                <w:sz w:val="52"/>
              </w:rPr>
            </w:pPr>
            <w:r>
              <w:rPr>
                <w:b/>
                <w:sz w:val="52"/>
              </w:rPr>
              <w:t xml:space="preserve">INFORME </w:t>
            </w:r>
            <w:r w:rsidR="007B3E85">
              <w:rPr>
                <w:b/>
                <w:sz w:val="52"/>
              </w:rPr>
              <w:t>JUSTIFICATIVO</w:t>
            </w:r>
            <w:r>
              <w:rPr>
                <w:b/>
                <w:sz w:val="52"/>
              </w:rPr>
              <w:t xml:space="preserve"> PROYECTO</w:t>
            </w:r>
          </w:p>
          <w:p w14:paraId="5780F365" w14:textId="0A004555" w:rsidR="006A5016" w:rsidRPr="007B3E85" w:rsidRDefault="006A5016" w:rsidP="002B0FB9">
            <w:pPr>
              <w:jc w:val="center"/>
              <w:rPr>
                <w:b/>
                <w:sz w:val="40"/>
                <w:lang w:val="en-US"/>
              </w:rPr>
            </w:pPr>
            <w:r w:rsidRPr="007B3E85">
              <w:rPr>
                <w:b/>
                <w:sz w:val="40"/>
                <w:lang w:val="en-US"/>
              </w:rPr>
              <w:t xml:space="preserve">N° </w:t>
            </w:r>
            <w:r w:rsidR="00701121" w:rsidRPr="007B3E85">
              <w:rPr>
                <w:b/>
                <w:sz w:val="40"/>
                <w:lang w:val="en-US"/>
              </w:rPr>
              <w:t>I0562-123140-</w:t>
            </w:r>
            <w:r w:rsidR="002553EC" w:rsidRPr="007B3E85">
              <w:rPr>
                <w:b/>
                <w:sz w:val="40"/>
                <w:lang w:val="en-US"/>
              </w:rPr>
              <w:t>IT</w:t>
            </w:r>
            <w:r w:rsidR="00701121" w:rsidRPr="007B3E85">
              <w:rPr>
                <w:b/>
                <w:sz w:val="40"/>
                <w:lang w:val="en-US"/>
              </w:rPr>
              <w:t>-600-00</w:t>
            </w:r>
            <w:r w:rsidR="007B3E85" w:rsidRPr="007B3E85">
              <w:rPr>
                <w:b/>
                <w:sz w:val="40"/>
                <w:lang w:val="en-US"/>
              </w:rPr>
              <w:t>2</w:t>
            </w:r>
          </w:p>
          <w:p w14:paraId="72E1B33C" w14:textId="3FACADEC" w:rsidR="00B2673A" w:rsidRPr="007B3E85" w:rsidRDefault="00701121" w:rsidP="002B0FB9">
            <w:pPr>
              <w:jc w:val="center"/>
              <w:rPr>
                <w:b/>
                <w:sz w:val="40"/>
                <w:lang w:val="en-US"/>
              </w:rPr>
            </w:pPr>
            <w:r w:rsidRPr="007B3E85">
              <w:rPr>
                <w:b/>
                <w:sz w:val="40"/>
                <w:lang w:val="en-US"/>
              </w:rPr>
              <w:t>N° 2723</w:t>
            </w:r>
            <w:r w:rsidR="004C2363" w:rsidRPr="007B3E85">
              <w:rPr>
                <w:b/>
                <w:sz w:val="40"/>
                <w:lang w:val="en-US"/>
              </w:rPr>
              <w:t>-MTC-I</w:t>
            </w:r>
            <w:r w:rsidRPr="007B3E85">
              <w:rPr>
                <w:b/>
                <w:sz w:val="40"/>
                <w:lang w:val="en-US"/>
              </w:rPr>
              <w:t>D</w:t>
            </w:r>
            <w:r w:rsidR="004C2363" w:rsidRPr="007B3E85">
              <w:rPr>
                <w:b/>
                <w:sz w:val="40"/>
                <w:lang w:val="en-US"/>
              </w:rPr>
              <w:t>-ELE-</w:t>
            </w:r>
            <w:r w:rsidR="002553EC" w:rsidRPr="007B3E85">
              <w:rPr>
                <w:b/>
                <w:sz w:val="40"/>
                <w:lang w:val="en-US"/>
              </w:rPr>
              <w:t>INF</w:t>
            </w:r>
            <w:r w:rsidR="004C2363" w:rsidRPr="007B3E85">
              <w:rPr>
                <w:b/>
                <w:sz w:val="40"/>
                <w:lang w:val="en-US"/>
              </w:rPr>
              <w:t>-000</w:t>
            </w:r>
            <w:r w:rsidR="007B3E85" w:rsidRPr="007B3E85">
              <w:rPr>
                <w:b/>
                <w:sz w:val="40"/>
                <w:lang w:val="en-US"/>
              </w:rPr>
              <w:t>2</w:t>
            </w:r>
          </w:p>
          <w:p w14:paraId="539B6236" w14:textId="77777777" w:rsidR="00701121" w:rsidRDefault="006A5016" w:rsidP="002B0FB9">
            <w:pPr>
              <w:jc w:val="center"/>
              <w:rPr>
                <w:b/>
                <w:sz w:val="40"/>
              </w:rPr>
            </w:pPr>
            <w:r>
              <w:rPr>
                <w:b/>
                <w:sz w:val="40"/>
              </w:rPr>
              <w:t xml:space="preserve">PROYECTO: </w:t>
            </w:r>
          </w:p>
          <w:p w14:paraId="5687F34B" w14:textId="77777777" w:rsidR="0075343A" w:rsidRDefault="0075343A" w:rsidP="00701121">
            <w:pPr>
              <w:jc w:val="center"/>
              <w:rPr>
                <w:b/>
                <w:sz w:val="40"/>
              </w:rPr>
            </w:pPr>
            <w:r w:rsidRPr="0075343A">
              <w:rPr>
                <w:b/>
                <w:sz w:val="40"/>
              </w:rPr>
              <w:t xml:space="preserve">AUMENTO DE POTENCIA CONSUMO </w:t>
            </w:r>
            <w:r w:rsidRPr="0075343A">
              <w:rPr>
                <w:b/>
                <w:sz w:val="40"/>
              </w:rPr>
              <w:t xml:space="preserve">TEA </w:t>
            </w:r>
          </w:p>
          <w:p w14:paraId="22ED44A7" w14:textId="0113253B" w:rsidR="001B3F15" w:rsidRDefault="0075343A" w:rsidP="00701121">
            <w:pPr>
              <w:jc w:val="center"/>
              <w:rPr>
                <w:b/>
                <w:sz w:val="40"/>
              </w:rPr>
            </w:pPr>
            <w:r w:rsidRPr="0075343A">
              <w:rPr>
                <w:b/>
                <w:sz w:val="40"/>
              </w:rPr>
              <w:t xml:space="preserve">S/E LAGUNAS </w:t>
            </w:r>
            <w:r w:rsidRPr="0075343A">
              <w:rPr>
                <w:b/>
                <w:sz w:val="40"/>
              </w:rPr>
              <w:t>(10 MW)</w:t>
            </w:r>
            <w:r w:rsidRPr="0075343A">
              <w:rPr>
                <w:b/>
                <w:sz w:val="40"/>
              </w:rPr>
              <w:t xml:space="preserve"> </w:t>
            </w:r>
            <w:r w:rsidR="00092EEF">
              <w:rPr>
                <w:b/>
                <w:sz w:val="40"/>
              </w:rPr>
              <w:t>(NUP 3703)</w:t>
            </w:r>
          </w:p>
          <w:p w14:paraId="133525E3" w14:textId="282571EE" w:rsidR="00701121" w:rsidRPr="00701121" w:rsidRDefault="00701121" w:rsidP="00701121">
            <w:pPr>
              <w:jc w:val="center"/>
              <w:rPr>
                <w:b/>
                <w:sz w:val="32"/>
                <w:szCs w:val="18"/>
              </w:rPr>
            </w:pPr>
          </w:p>
        </w:tc>
      </w:tr>
    </w:tbl>
    <w:p w14:paraId="58865E64" w14:textId="77777777" w:rsidR="001B3F15" w:rsidRDefault="001B3F15" w:rsidP="002030D6">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8"/>
        <w:gridCol w:w="1702"/>
        <w:gridCol w:w="4394"/>
        <w:gridCol w:w="1701"/>
        <w:gridCol w:w="1865"/>
      </w:tblGrid>
      <w:tr w:rsidR="00CE647D" w:rsidRPr="002462C5" w14:paraId="67607E36" w14:textId="77777777" w:rsidTr="002462C5">
        <w:trPr>
          <w:trHeight w:val="397"/>
        </w:trPr>
        <w:tc>
          <w:tcPr>
            <w:tcW w:w="523" w:type="pct"/>
            <w:vAlign w:val="center"/>
          </w:tcPr>
          <w:p w14:paraId="089B8596" w14:textId="0222717C" w:rsidR="00CE647D" w:rsidRPr="002462C5" w:rsidRDefault="00CE647D" w:rsidP="002030D6">
            <w:pPr>
              <w:spacing w:after="0" w:line="240" w:lineRule="auto"/>
              <w:jc w:val="both"/>
            </w:pPr>
          </w:p>
        </w:tc>
        <w:tc>
          <w:tcPr>
            <w:tcW w:w="789" w:type="pct"/>
            <w:vAlign w:val="center"/>
          </w:tcPr>
          <w:p w14:paraId="51607779" w14:textId="48A87878" w:rsidR="00CE647D" w:rsidRPr="002462C5" w:rsidRDefault="00CE647D" w:rsidP="002030D6">
            <w:pPr>
              <w:spacing w:after="0" w:line="240" w:lineRule="auto"/>
              <w:jc w:val="both"/>
            </w:pPr>
          </w:p>
        </w:tc>
        <w:tc>
          <w:tcPr>
            <w:tcW w:w="2036" w:type="pct"/>
            <w:vAlign w:val="center"/>
          </w:tcPr>
          <w:p w14:paraId="7CD44EB2" w14:textId="00153540" w:rsidR="00CE647D" w:rsidRPr="002462C5" w:rsidRDefault="00CE647D" w:rsidP="002030D6">
            <w:pPr>
              <w:spacing w:after="0" w:line="240" w:lineRule="auto"/>
              <w:jc w:val="both"/>
            </w:pPr>
          </w:p>
        </w:tc>
        <w:tc>
          <w:tcPr>
            <w:tcW w:w="788" w:type="pct"/>
            <w:vAlign w:val="center"/>
          </w:tcPr>
          <w:p w14:paraId="77DBF886" w14:textId="2210F860" w:rsidR="00CE647D" w:rsidRPr="002462C5" w:rsidRDefault="00CE647D" w:rsidP="002030D6">
            <w:pPr>
              <w:spacing w:after="0" w:line="240" w:lineRule="auto"/>
              <w:jc w:val="both"/>
            </w:pPr>
          </w:p>
        </w:tc>
        <w:tc>
          <w:tcPr>
            <w:tcW w:w="864" w:type="pct"/>
            <w:vAlign w:val="center"/>
          </w:tcPr>
          <w:p w14:paraId="4CDA223E" w14:textId="4EC2CBCB" w:rsidR="00CE647D" w:rsidRPr="002462C5" w:rsidRDefault="00CE647D" w:rsidP="002030D6">
            <w:pPr>
              <w:spacing w:after="0" w:line="240" w:lineRule="auto"/>
              <w:jc w:val="both"/>
            </w:pPr>
          </w:p>
        </w:tc>
      </w:tr>
      <w:tr w:rsidR="00AD5E0E" w:rsidRPr="002462C5" w14:paraId="68A52943" w14:textId="77777777" w:rsidTr="002462C5">
        <w:trPr>
          <w:trHeight w:val="397"/>
        </w:trPr>
        <w:tc>
          <w:tcPr>
            <w:tcW w:w="523" w:type="pct"/>
            <w:vAlign w:val="center"/>
          </w:tcPr>
          <w:p w14:paraId="7BD6C7B6" w14:textId="628B0FB9" w:rsidR="00AD5E0E" w:rsidRPr="002462C5" w:rsidRDefault="00AD5E0E" w:rsidP="00AD5E0E">
            <w:pPr>
              <w:spacing w:after="0" w:line="240" w:lineRule="auto"/>
              <w:jc w:val="center"/>
              <w:rPr>
                <w:rFonts w:cs="Arial Narrow"/>
              </w:rPr>
            </w:pPr>
          </w:p>
        </w:tc>
        <w:tc>
          <w:tcPr>
            <w:tcW w:w="789" w:type="pct"/>
            <w:vAlign w:val="center"/>
          </w:tcPr>
          <w:p w14:paraId="79B8991C" w14:textId="724BD72F" w:rsidR="00AD5E0E" w:rsidRPr="002462C5" w:rsidRDefault="00AD5E0E" w:rsidP="00AD5E0E">
            <w:pPr>
              <w:spacing w:after="0" w:line="240" w:lineRule="auto"/>
              <w:jc w:val="center"/>
              <w:rPr>
                <w:rFonts w:cs="Arial Narrow"/>
              </w:rPr>
            </w:pPr>
          </w:p>
        </w:tc>
        <w:tc>
          <w:tcPr>
            <w:tcW w:w="2036" w:type="pct"/>
            <w:vAlign w:val="center"/>
          </w:tcPr>
          <w:p w14:paraId="39D6BB16" w14:textId="06C297F2" w:rsidR="00AD5E0E" w:rsidRPr="002462C5" w:rsidRDefault="00AD5E0E" w:rsidP="00AD5E0E">
            <w:pPr>
              <w:spacing w:after="0" w:line="240" w:lineRule="auto"/>
              <w:jc w:val="center"/>
              <w:rPr>
                <w:rFonts w:cs="Arial Narrow"/>
              </w:rPr>
            </w:pPr>
          </w:p>
        </w:tc>
        <w:tc>
          <w:tcPr>
            <w:tcW w:w="788" w:type="pct"/>
            <w:vAlign w:val="center"/>
          </w:tcPr>
          <w:p w14:paraId="7DD414D4" w14:textId="79E95083" w:rsidR="00AD5E0E" w:rsidRPr="002462C5" w:rsidRDefault="00AD5E0E" w:rsidP="00AD5E0E">
            <w:pPr>
              <w:spacing w:after="0" w:line="240" w:lineRule="auto"/>
              <w:jc w:val="center"/>
              <w:rPr>
                <w:rFonts w:cs="Arial Narrow"/>
              </w:rPr>
            </w:pPr>
          </w:p>
        </w:tc>
        <w:tc>
          <w:tcPr>
            <w:tcW w:w="864" w:type="pct"/>
            <w:vAlign w:val="center"/>
          </w:tcPr>
          <w:p w14:paraId="4C30010D" w14:textId="15D3D043" w:rsidR="00AD5E0E" w:rsidRPr="002462C5" w:rsidRDefault="00AD5E0E" w:rsidP="00AD5E0E">
            <w:pPr>
              <w:spacing w:after="0" w:line="240" w:lineRule="auto"/>
              <w:jc w:val="center"/>
              <w:rPr>
                <w:rFonts w:cs="Arial Narrow"/>
              </w:rPr>
            </w:pPr>
          </w:p>
        </w:tc>
      </w:tr>
      <w:tr w:rsidR="006515CD" w:rsidRPr="002462C5" w14:paraId="013616B2" w14:textId="77777777" w:rsidTr="002462C5">
        <w:trPr>
          <w:trHeight w:val="397"/>
        </w:trPr>
        <w:tc>
          <w:tcPr>
            <w:tcW w:w="523" w:type="pct"/>
            <w:vAlign w:val="center"/>
          </w:tcPr>
          <w:p w14:paraId="232CCB81" w14:textId="5A21E3AC" w:rsidR="006515CD" w:rsidRPr="002462C5" w:rsidRDefault="006515CD" w:rsidP="002B0FB9">
            <w:pPr>
              <w:spacing w:after="0" w:line="240" w:lineRule="auto"/>
              <w:jc w:val="center"/>
              <w:rPr>
                <w:rFonts w:cs="Arial Narrow"/>
              </w:rPr>
            </w:pPr>
            <w:r>
              <w:rPr>
                <w:rFonts w:cs="Arial Narrow"/>
              </w:rPr>
              <w:t>B</w:t>
            </w:r>
          </w:p>
        </w:tc>
        <w:tc>
          <w:tcPr>
            <w:tcW w:w="789" w:type="pct"/>
            <w:vAlign w:val="center"/>
          </w:tcPr>
          <w:p w14:paraId="0887D761" w14:textId="088B5510" w:rsidR="006515CD" w:rsidRPr="002462C5" w:rsidRDefault="007B3E85" w:rsidP="002B0FB9">
            <w:pPr>
              <w:spacing w:after="0" w:line="240" w:lineRule="auto"/>
              <w:jc w:val="center"/>
              <w:rPr>
                <w:rFonts w:cs="Arial Narrow"/>
              </w:rPr>
            </w:pPr>
            <w:r>
              <w:rPr>
                <w:rFonts w:cs="Arial Narrow"/>
              </w:rPr>
              <w:t>13</w:t>
            </w:r>
            <w:r w:rsidR="00701121">
              <w:rPr>
                <w:rFonts w:cs="Arial Narrow"/>
              </w:rPr>
              <w:t>-0</w:t>
            </w:r>
            <w:r>
              <w:rPr>
                <w:rFonts w:cs="Arial Narrow"/>
              </w:rPr>
              <w:t>2</w:t>
            </w:r>
            <w:r w:rsidR="00701121">
              <w:rPr>
                <w:rFonts w:cs="Arial Narrow"/>
              </w:rPr>
              <w:t>-202</w:t>
            </w:r>
            <w:r>
              <w:rPr>
                <w:rFonts w:cs="Arial Narrow"/>
              </w:rPr>
              <w:t>5</w:t>
            </w:r>
          </w:p>
        </w:tc>
        <w:tc>
          <w:tcPr>
            <w:tcW w:w="2036" w:type="pct"/>
            <w:vAlign w:val="center"/>
          </w:tcPr>
          <w:p w14:paraId="5E5E4A9A" w14:textId="70CEF47F" w:rsidR="006515CD" w:rsidRPr="002462C5" w:rsidRDefault="006515CD" w:rsidP="002B0FB9">
            <w:pPr>
              <w:spacing w:after="0" w:line="240" w:lineRule="auto"/>
              <w:jc w:val="center"/>
              <w:rPr>
                <w:rFonts w:cs="Arial Narrow"/>
              </w:rPr>
            </w:pPr>
            <w:r>
              <w:rPr>
                <w:rFonts w:cs="Arial Narrow"/>
              </w:rPr>
              <w:t>Emitido para Revisión del Cliente</w:t>
            </w:r>
          </w:p>
        </w:tc>
        <w:tc>
          <w:tcPr>
            <w:tcW w:w="788" w:type="pct"/>
            <w:vAlign w:val="center"/>
          </w:tcPr>
          <w:p w14:paraId="6260CFC8" w14:textId="75808B7D" w:rsidR="006515CD" w:rsidRPr="002462C5" w:rsidRDefault="006515CD" w:rsidP="002B0FB9">
            <w:pPr>
              <w:spacing w:after="0" w:line="240" w:lineRule="auto"/>
              <w:jc w:val="center"/>
              <w:rPr>
                <w:rFonts w:cs="Arial Narrow"/>
              </w:rPr>
            </w:pPr>
            <w:r>
              <w:rPr>
                <w:rFonts w:cs="Arial Narrow"/>
              </w:rPr>
              <w:t>MULTICAL</w:t>
            </w:r>
          </w:p>
        </w:tc>
        <w:tc>
          <w:tcPr>
            <w:tcW w:w="864" w:type="pct"/>
            <w:vAlign w:val="center"/>
          </w:tcPr>
          <w:p w14:paraId="371023B1" w14:textId="5B125E2D" w:rsidR="006515CD" w:rsidRPr="002462C5" w:rsidRDefault="00AD5E0E" w:rsidP="002B0FB9">
            <w:pPr>
              <w:spacing w:after="0" w:line="240" w:lineRule="auto"/>
              <w:jc w:val="center"/>
              <w:rPr>
                <w:rFonts w:cs="Arial Narrow"/>
              </w:rPr>
            </w:pPr>
            <w:r>
              <w:rPr>
                <w:rFonts w:cs="Arial Narrow"/>
              </w:rPr>
              <w:t>OH</w:t>
            </w:r>
          </w:p>
        </w:tc>
      </w:tr>
      <w:tr w:rsidR="008F5EF2" w:rsidRPr="002462C5" w14:paraId="4A6390E5" w14:textId="77777777" w:rsidTr="002462C5">
        <w:trPr>
          <w:trHeight w:val="397"/>
        </w:trPr>
        <w:tc>
          <w:tcPr>
            <w:tcW w:w="523" w:type="pct"/>
            <w:vAlign w:val="center"/>
          </w:tcPr>
          <w:p w14:paraId="13115287" w14:textId="77777777" w:rsidR="008F5EF2" w:rsidRPr="002462C5" w:rsidRDefault="008F5EF2" w:rsidP="002B0FB9">
            <w:pPr>
              <w:spacing w:after="0" w:line="240" w:lineRule="auto"/>
              <w:jc w:val="center"/>
              <w:rPr>
                <w:rFonts w:cs="Arial Narrow"/>
              </w:rPr>
            </w:pPr>
            <w:r>
              <w:rPr>
                <w:rFonts w:cs="Arial Narrow"/>
              </w:rPr>
              <w:t>A</w:t>
            </w:r>
          </w:p>
        </w:tc>
        <w:tc>
          <w:tcPr>
            <w:tcW w:w="789" w:type="pct"/>
            <w:vAlign w:val="center"/>
          </w:tcPr>
          <w:p w14:paraId="1A97D0CD" w14:textId="2D36E61F" w:rsidR="008F5EF2" w:rsidRPr="002462C5" w:rsidRDefault="007B3E85" w:rsidP="002B0FB9">
            <w:pPr>
              <w:spacing w:after="0" w:line="240" w:lineRule="auto"/>
              <w:jc w:val="center"/>
              <w:rPr>
                <w:rFonts w:cs="Arial Narrow"/>
              </w:rPr>
            </w:pPr>
            <w:r>
              <w:rPr>
                <w:rFonts w:cs="Arial Narrow"/>
              </w:rPr>
              <w:t>10</w:t>
            </w:r>
            <w:r w:rsidR="00701121">
              <w:rPr>
                <w:rFonts w:cs="Arial Narrow"/>
              </w:rPr>
              <w:t>-02-202</w:t>
            </w:r>
            <w:r>
              <w:rPr>
                <w:rFonts w:cs="Arial Narrow"/>
              </w:rPr>
              <w:t>5</w:t>
            </w:r>
          </w:p>
        </w:tc>
        <w:tc>
          <w:tcPr>
            <w:tcW w:w="2036" w:type="pct"/>
            <w:vAlign w:val="center"/>
          </w:tcPr>
          <w:p w14:paraId="4D31F996" w14:textId="77777777" w:rsidR="008F5EF2" w:rsidRPr="002462C5" w:rsidRDefault="008F5EF2" w:rsidP="002B0FB9">
            <w:pPr>
              <w:spacing w:after="0" w:line="240" w:lineRule="auto"/>
              <w:jc w:val="center"/>
              <w:rPr>
                <w:rFonts w:cs="Arial Narrow"/>
              </w:rPr>
            </w:pPr>
            <w:r>
              <w:rPr>
                <w:rFonts w:cs="Arial Narrow"/>
              </w:rPr>
              <w:t>Emitido para Revisión Interna</w:t>
            </w:r>
          </w:p>
        </w:tc>
        <w:tc>
          <w:tcPr>
            <w:tcW w:w="788" w:type="pct"/>
            <w:vAlign w:val="center"/>
          </w:tcPr>
          <w:p w14:paraId="1140DF07" w14:textId="7792BDEC" w:rsidR="008F5EF2" w:rsidRPr="002462C5" w:rsidRDefault="008F5EF2" w:rsidP="002B0FB9">
            <w:pPr>
              <w:spacing w:after="0" w:line="240" w:lineRule="auto"/>
              <w:jc w:val="center"/>
              <w:rPr>
                <w:rFonts w:cs="Arial Narrow"/>
              </w:rPr>
            </w:pPr>
            <w:r>
              <w:rPr>
                <w:rFonts w:cs="Arial Narrow"/>
              </w:rPr>
              <w:t>MULTICAL</w:t>
            </w:r>
          </w:p>
        </w:tc>
        <w:tc>
          <w:tcPr>
            <w:tcW w:w="864" w:type="pct"/>
            <w:vAlign w:val="center"/>
          </w:tcPr>
          <w:p w14:paraId="00B8BE27" w14:textId="4BD1A8B7" w:rsidR="008F5EF2" w:rsidRPr="002462C5" w:rsidRDefault="008F5EF2" w:rsidP="002B0FB9">
            <w:pPr>
              <w:spacing w:after="0" w:line="240" w:lineRule="auto"/>
              <w:jc w:val="center"/>
              <w:rPr>
                <w:rFonts w:cs="Arial Narrow"/>
              </w:rPr>
            </w:pPr>
            <w:r>
              <w:rPr>
                <w:rFonts w:cs="Arial Narrow"/>
              </w:rPr>
              <w:t>MDL</w:t>
            </w:r>
          </w:p>
        </w:tc>
      </w:tr>
      <w:tr w:rsidR="008F5EF2" w:rsidRPr="002462C5" w14:paraId="23EC8746" w14:textId="77777777" w:rsidTr="002462C5">
        <w:trPr>
          <w:trHeight w:val="397"/>
        </w:trPr>
        <w:tc>
          <w:tcPr>
            <w:tcW w:w="523" w:type="pct"/>
            <w:vAlign w:val="center"/>
          </w:tcPr>
          <w:p w14:paraId="68BA79E8" w14:textId="77777777" w:rsidR="008F5EF2" w:rsidRPr="002462C5" w:rsidRDefault="008F5EF2" w:rsidP="002B0FB9">
            <w:pPr>
              <w:spacing w:after="0" w:line="240" w:lineRule="auto"/>
              <w:jc w:val="center"/>
              <w:rPr>
                <w:rFonts w:cs="Arial Narrow"/>
                <w:b/>
                <w:bCs/>
              </w:rPr>
            </w:pPr>
            <w:r w:rsidRPr="002462C5">
              <w:rPr>
                <w:rFonts w:cs="Arial Narrow"/>
                <w:b/>
                <w:bCs/>
              </w:rPr>
              <w:t>Revisión</w:t>
            </w:r>
          </w:p>
        </w:tc>
        <w:tc>
          <w:tcPr>
            <w:tcW w:w="789" w:type="pct"/>
            <w:vAlign w:val="center"/>
          </w:tcPr>
          <w:p w14:paraId="54E3A0FB" w14:textId="77777777" w:rsidR="008F5EF2" w:rsidRPr="002462C5" w:rsidRDefault="008F5EF2" w:rsidP="002B0FB9">
            <w:pPr>
              <w:spacing w:after="0" w:line="240" w:lineRule="auto"/>
              <w:jc w:val="center"/>
              <w:rPr>
                <w:rFonts w:cs="Arial Narrow"/>
                <w:b/>
                <w:bCs/>
              </w:rPr>
            </w:pPr>
            <w:r w:rsidRPr="002462C5">
              <w:rPr>
                <w:rFonts w:cs="Arial Narrow"/>
                <w:b/>
                <w:bCs/>
              </w:rPr>
              <w:t>Fecha</w:t>
            </w:r>
          </w:p>
        </w:tc>
        <w:tc>
          <w:tcPr>
            <w:tcW w:w="2036" w:type="pct"/>
            <w:vAlign w:val="center"/>
          </w:tcPr>
          <w:p w14:paraId="3BA3A602" w14:textId="77777777" w:rsidR="008F5EF2" w:rsidRPr="002462C5" w:rsidRDefault="008F5EF2" w:rsidP="002B0FB9">
            <w:pPr>
              <w:spacing w:after="0" w:line="240" w:lineRule="auto"/>
              <w:jc w:val="center"/>
              <w:rPr>
                <w:rFonts w:cs="Arial Narrow"/>
                <w:b/>
                <w:bCs/>
              </w:rPr>
            </w:pPr>
            <w:r w:rsidRPr="002462C5">
              <w:rPr>
                <w:rFonts w:cs="Arial Narrow"/>
                <w:b/>
                <w:bCs/>
              </w:rPr>
              <w:t>Emitido para</w:t>
            </w:r>
          </w:p>
        </w:tc>
        <w:tc>
          <w:tcPr>
            <w:tcW w:w="788" w:type="pct"/>
            <w:vAlign w:val="center"/>
          </w:tcPr>
          <w:p w14:paraId="102478FD" w14:textId="77777777" w:rsidR="008F5EF2" w:rsidRPr="002462C5" w:rsidRDefault="008F5EF2" w:rsidP="002B0FB9">
            <w:pPr>
              <w:spacing w:after="0" w:line="240" w:lineRule="auto"/>
              <w:jc w:val="center"/>
              <w:rPr>
                <w:rFonts w:cs="Arial Narrow"/>
                <w:b/>
                <w:bCs/>
              </w:rPr>
            </w:pPr>
            <w:r w:rsidRPr="002462C5">
              <w:rPr>
                <w:rFonts w:cs="Arial Narrow"/>
                <w:b/>
                <w:bCs/>
              </w:rPr>
              <w:t>Preparado por</w:t>
            </w:r>
          </w:p>
        </w:tc>
        <w:tc>
          <w:tcPr>
            <w:tcW w:w="864" w:type="pct"/>
            <w:vAlign w:val="center"/>
          </w:tcPr>
          <w:p w14:paraId="624248B7" w14:textId="77777777" w:rsidR="008F5EF2" w:rsidRPr="002462C5" w:rsidRDefault="008F5EF2" w:rsidP="002B0FB9">
            <w:pPr>
              <w:spacing w:after="0" w:line="240" w:lineRule="auto"/>
              <w:jc w:val="center"/>
              <w:rPr>
                <w:rFonts w:cs="Arial Narrow"/>
                <w:b/>
                <w:bCs/>
              </w:rPr>
            </w:pPr>
            <w:r w:rsidRPr="002462C5">
              <w:rPr>
                <w:rFonts w:cs="Arial Narrow"/>
                <w:b/>
                <w:bCs/>
              </w:rPr>
              <w:t>Revisado por</w:t>
            </w:r>
          </w:p>
        </w:tc>
      </w:tr>
    </w:tbl>
    <w:p w14:paraId="073B2B78" w14:textId="77777777" w:rsidR="001B3F15" w:rsidRDefault="001B3F15" w:rsidP="002030D6">
      <w:pPr>
        <w:jc w:val="both"/>
        <w:rPr>
          <w:spacing w:val="-2"/>
        </w:rPr>
      </w:pPr>
    </w:p>
    <w:tbl>
      <w:tblPr>
        <w:tblStyle w:val="Tablaconcuadrcula"/>
        <w:tblW w:w="5000" w:type="pct"/>
        <w:jc w:val="center"/>
        <w:tblLook w:val="04A0" w:firstRow="1" w:lastRow="0" w:firstColumn="1" w:lastColumn="0" w:noHBand="0" w:noVBand="1"/>
      </w:tblPr>
      <w:tblGrid>
        <w:gridCol w:w="1541"/>
        <w:gridCol w:w="1541"/>
        <w:gridCol w:w="1541"/>
        <w:gridCol w:w="1541"/>
        <w:gridCol w:w="1586"/>
        <w:gridCol w:w="1495"/>
        <w:gridCol w:w="1545"/>
      </w:tblGrid>
      <w:tr w:rsidR="001B3F15" w:rsidRPr="004373E1" w14:paraId="13755AD2" w14:textId="77777777" w:rsidTr="00AB5F5F">
        <w:trPr>
          <w:jc w:val="center"/>
        </w:trPr>
        <w:tc>
          <w:tcPr>
            <w:tcW w:w="5000" w:type="pct"/>
            <w:gridSpan w:val="7"/>
            <w:tcBorders>
              <w:top w:val="single" w:sz="4" w:space="0" w:color="auto"/>
              <w:right w:val="single" w:sz="4" w:space="0" w:color="auto"/>
            </w:tcBorders>
            <w:vAlign w:val="center"/>
          </w:tcPr>
          <w:p w14:paraId="6C444E1B" w14:textId="77777777" w:rsidR="001B3F15" w:rsidRPr="004373E1" w:rsidRDefault="001B3F15" w:rsidP="002B0FB9">
            <w:pPr>
              <w:jc w:val="center"/>
              <w:rPr>
                <w:rFonts w:cs="Arial"/>
                <w:sz w:val="16"/>
              </w:rPr>
            </w:pPr>
            <w:r w:rsidRPr="002462C5">
              <w:rPr>
                <w:spacing w:val="-2"/>
              </w:rPr>
              <w:br w:type="page"/>
            </w:r>
            <w:r w:rsidRPr="004373E1">
              <w:rPr>
                <w:rFonts w:cs="Arial"/>
                <w:sz w:val="16"/>
              </w:rPr>
              <w:t>Código Documento</w:t>
            </w:r>
          </w:p>
        </w:tc>
      </w:tr>
      <w:tr w:rsidR="001B3F15" w:rsidRPr="004373E1" w14:paraId="4DD470A4" w14:textId="77777777" w:rsidTr="006A5016">
        <w:trPr>
          <w:jc w:val="center"/>
        </w:trPr>
        <w:tc>
          <w:tcPr>
            <w:tcW w:w="714" w:type="pct"/>
            <w:vAlign w:val="center"/>
          </w:tcPr>
          <w:p w14:paraId="1829EB41" w14:textId="77777777" w:rsidR="001B3F15" w:rsidRPr="004373E1" w:rsidRDefault="001B3F15" w:rsidP="002B0FB9">
            <w:pPr>
              <w:jc w:val="center"/>
              <w:rPr>
                <w:rFonts w:cs="Arial"/>
                <w:b/>
                <w:sz w:val="16"/>
              </w:rPr>
            </w:pPr>
            <w:r w:rsidRPr="004373E1">
              <w:rPr>
                <w:rFonts w:cs="Arial"/>
                <w:b/>
                <w:sz w:val="16"/>
              </w:rPr>
              <w:t>Código Proyecto</w:t>
            </w:r>
          </w:p>
        </w:tc>
        <w:tc>
          <w:tcPr>
            <w:tcW w:w="714" w:type="pct"/>
            <w:vAlign w:val="center"/>
          </w:tcPr>
          <w:p w14:paraId="1B32E299" w14:textId="77777777" w:rsidR="001B3F15" w:rsidRPr="004373E1" w:rsidRDefault="001B3F15" w:rsidP="002B0FB9">
            <w:pPr>
              <w:jc w:val="center"/>
              <w:rPr>
                <w:rFonts w:cs="Arial"/>
                <w:b/>
                <w:sz w:val="16"/>
              </w:rPr>
            </w:pPr>
            <w:r w:rsidRPr="004373E1">
              <w:rPr>
                <w:rFonts w:cs="Arial"/>
                <w:b/>
                <w:sz w:val="16"/>
              </w:rPr>
              <w:t xml:space="preserve">Código </w:t>
            </w:r>
            <w:r>
              <w:rPr>
                <w:rFonts w:cs="Arial"/>
                <w:b/>
                <w:sz w:val="16"/>
              </w:rPr>
              <w:t>Oficina</w:t>
            </w:r>
          </w:p>
        </w:tc>
        <w:tc>
          <w:tcPr>
            <w:tcW w:w="714" w:type="pct"/>
            <w:vAlign w:val="center"/>
          </w:tcPr>
          <w:p w14:paraId="0A2BD416" w14:textId="77777777" w:rsidR="001B3F15" w:rsidRPr="004373E1" w:rsidRDefault="001B3F15" w:rsidP="002B0FB9">
            <w:pPr>
              <w:jc w:val="center"/>
              <w:rPr>
                <w:rFonts w:cs="Arial"/>
                <w:b/>
                <w:sz w:val="16"/>
              </w:rPr>
            </w:pPr>
            <w:r w:rsidRPr="004373E1">
              <w:rPr>
                <w:rFonts w:cs="Arial"/>
                <w:b/>
                <w:sz w:val="16"/>
              </w:rPr>
              <w:t>Tipo de Servicio</w:t>
            </w:r>
          </w:p>
        </w:tc>
        <w:tc>
          <w:tcPr>
            <w:tcW w:w="714" w:type="pct"/>
            <w:vAlign w:val="center"/>
          </w:tcPr>
          <w:p w14:paraId="4E7414ED" w14:textId="77777777" w:rsidR="001B3F15" w:rsidRPr="004373E1" w:rsidRDefault="001B3F15" w:rsidP="002B0FB9">
            <w:pPr>
              <w:jc w:val="center"/>
              <w:rPr>
                <w:rFonts w:cs="Arial"/>
                <w:b/>
                <w:sz w:val="16"/>
              </w:rPr>
            </w:pPr>
            <w:r w:rsidRPr="004373E1">
              <w:rPr>
                <w:rFonts w:cs="Arial"/>
                <w:b/>
                <w:sz w:val="16"/>
              </w:rPr>
              <w:t>Código de Disciplina</w:t>
            </w:r>
          </w:p>
        </w:tc>
        <w:tc>
          <w:tcPr>
            <w:tcW w:w="735" w:type="pct"/>
            <w:vAlign w:val="center"/>
          </w:tcPr>
          <w:p w14:paraId="5653A622" w14:textId="77777777" w:rsidR="001B3F15" w:rsidRPr="004373E1" w:rsidRDefault="001B3F15" w:rsidP="002B0FB9">
            <w:pPr>
              <w:jc w:val="center"/>
              <w:rPr>
                <w:rFonts w:cs="Arial"/>
                <w:b/>
                <w:sz w:val="16"/>
              </w:rPr>
            </w:pPr>
            <w:r w:rsidRPr="004373E1">
              <w:rPr>
                <w:rFonts w:cs="Arial"/>
                <w:b/>
                <w:sz w:val="16"/>
              </w:rPr>
              <w:t>Tipo de Documento</w:t>
            </w:r>
          </w:p>
        </w:tc>
        <w:tc>
          <w:tcPr>
            <w:tcW w:w="693" w:type="pct"/>
            <w:tcBorders>
              <w:right w:val="single" w:sz="4" w:space="0" w:color="auto"/>
            </w:tcBorders>
            <w:vAlign w:val="center"/>
          </w:tcPr>
          <w:p w14:paraId="62193E9E" w14:textId="77777777" w:rsidR="001B3F15" w:rsidRPr="004373E1" w:rsidRDefault="001B3F15" w:rsidP="002B0FB9">
            <w:pPr>
              <w:jc w:val="center"/>
              <w:rPr>
                <w:rFonts w:cs="Arial"/>
                <w:b/>
                <w:sz w:val="16"/>
              </w:rPr>
            </w:pPr>
            <w:r w:rsidRPr="004373E1">
              <w:rPr>
                <w:rFonts w:cs="Arial"/>
                <w:b/>
                <w:sz w:val="16"/>
              </w:rPr>
              <w:t>No.</w:t>
            </w:r>
          </w:p>
        </w:tc>
        <w:tc>
          <w:tcPr>
            <w:tcW w:w="716" w:type="pct"/>
            <w:tcBorders>
              <w:top w:val="nil"/>
              <w:left w:val="single" w:sz="4" w:space="0" w:color="auto"/>
              <w:bottom w:val="single" w:sz="4" w:space="0" w:color="auto"/>
              <w:right w:val="single" w:sz="4" w:space="0" w:color="auto"/>
            </w:tcBorders>
            <w:vAlign w:val="center"/>
          </w:tcPr>
          <w:p w14:paraId="7D840C2F" w14:textId="77777777" w:rsidR="001B3F15" w:rsidRPr="004373E1" w:rsidRDefault="001B3F15" w:rsidP="002B0FB9">
            <w:pPr>
              <w:jc w:val="center"/>
              <w:rPr>
                <w:rFonts w:cs="Arial"/>
                <w:b/>
                <w:sz w:val="16"/>
              </w:rPr>
            </w:pPr>
            <w:r w:rsidRPr="004373E1">
              <w:rPr>
                <w:rFonts w:cs="Arial"/>
                <w:b/>
                <w:sz w:val="16"/>
              </w:rPr>
              <w:t>Revisión.</w:t>
            </w:r>
          </w:p>
        </w:tc>
      </w:tr>
      <w:tr w:rsidR="006A5016" w:rsidRPr="004373E1" w14:paraId="7DD4948B" w14:textId="77777777" w:rsidTr="006A5016">
        <w:trPr>
          <w:trHeight w:val="520"/>
          <w:jc w:val="center"/>
        </w:trPr>
        <w:tc>
          <w:tcPr>
            <w:tcW w:w="714" w:type="pct"/>
            <w:tcBorders>
              <w:bottom w:val="single" w:sz="4" w:space="0" w:color="auto"/>
            </w:tcBorders>
            <w:vAlign w:val="center"/>
          </w:tcPr>
          <w:p w14:paraId="69F2304C" w14:textId="7A1D3C87" w:rsidR="006A5016" w:rsidRPr="004373E1" w:rsidRDefault="00532C4C" w:rsidP="002B0FB9">
            <w:pPr>
              <w:jc w:val="center"/>
              <w:rPr>
                <w:rFonts w:cs="Arial"/>
                <w:b/>
                <w:sz w:val="28"/>
              </w:rPr>
            </w:pPr>
            <w:r>
              <w:rPr>
                <w:rFonts w:cs="Arial"/>
                <w:b/>
                <w:sz w:val="28"/>
              </w:rPr>
              <w:t>27</w:t>
            </w:r>
            <w:r w:rsidR="00701121">
              <w:rPr>
                <w:rFonts w:cs="Arial"/>
                <w:b/>
                <w:sz w:val="28"/>
              </w:rPr>
              <w:t>23</w:t>
            </w:r>
          </w:p>
        </w:tc>
        <w:tc>
          <w:tcPr>
            <w:tcW w:w="714" w:type="pct"/>
            <w:tcBorders>
              <w:bottom w:val="single" w:sz="4" w:space="0" w:color="auto"/>
            </w:tcBorders>
            <w:vAlign w:val="center"/>
          </w:tcPr>
          <w:p w14:paraId="0B33C2F5" w14:textId="477580EC" w:rsidR="006A5016" w:rsidRPr="004373E1" w:rsidRDefault="006A5016" w:rsidP="002B0FB9">
            <w:pPr>
              <w:jc w:val="center"/>
              <w:rPr>
                <w:rFonts w:cs="Arial"/>
                <w:b/>
                <w:sz w:val="28"/>
              </w:rPr>
            </w:pPr>
            <w:r>
              <w:rPr>
                <w:rFonts w:cs="Arial"/>
                <w:b/>
                <w:sz w:val="28"/>
              </w:rPr>
              <w:t>MTC</w:t>
            </w:r>
          </w:p>
        </w:tc>
        <w:tc>
          <w:tcPr>
            <w:tcW w:w="714" w:type="pct"/>
            <w:tcBorders>
              <w:bottom w:val="single" w:sz="4" w:space="0" w:color="auto"/>
            </w:tcBorders>
            <w:vAlign w:val="center"/>
          </w:tcPr>
          <w:p w14:paraId="5BCAE155" w14:textId="1D5362D8" w:rsidR="006A5016" w:rsidRPr="004373E1" w:rsidRDefault="006515CD" w:rsidP="002B0FB9">
            <w:pPr>
              <w:jc w:val="center"/>
              <w:rPr>
                <w:rFonts w:cs="Arial"/>
                <w:b/>
                <w:sz w:val="28"/>
              </w:rPr>
            </w:pPr>
            <w:r>
              <w:rPr>
                <w:rFonts w:cs="Arial"/>
                <w:b/>
                <w:sz w:val="28"/>
              </w:rPr>
              <w:t>I</w:t>
            </w:r>
            <w:r w:rsidR="00701121">
              <w:rPr>
                <w:rFonts w:cs="Arial"/>
                <w:b/>
                <w:sz w:val="28"/>
              </w:rPr>
              <w:t>D</w:t>
            </w:r>
          </w:p>
        </w:tc>
        <w:tc>
          <w:tcPr>
            <w:tcW w:w="714" w:type="pct"/>
            <w:tcBorders>
              <w:bottom w:val="single" w:sz="4" w:space="0" w:color="auto"/>
            </w:tcBorders>
            <w:vAlign w:val="center"/>
          </w:tcPr>
          <w:p w14:paraId="113359CA" w14:textId="6A68C20F" w:rsidR="006A5016" w:rsidRPr="004373E1" w:rsidRDefault="006A5016" w:rsidP="002B0FB9">
            <w:pPr>
              <w:jc w:val="center"/>
              <w:rPr>
                <w:rFonts w:cs="Arial"/>
                <w:b/>
                <w:sz w:val="28"/>
              </w:rPr>
            </w:pPr>
            <w:r>
              <w:rPr>
                <w:rFonts w:cs="Arial"/>
                <w:b/>
                <w:sz w:val="28"/>
              </w:rPr>
              <w:t>ELE</w:t>
            </w:r>
          </w:p>
        </w:tc>
        <w:tc>
          <w:tcPr>
            <w:tcW w:w="735" w:type="pct"/>
            <w:tcBorders>
              <w:bottom w:val="single" w:sz="4" w:space="0" w:color="auto"/>
            </w:tcBorders>
            <w:vAlign w:val="center"/>
          </w:tcPr>
          <w:p w14:paraId="7A086109" w14:textId="45E442C4" w:rsidR="006A5016" w:rsidRPr="004373E1" w:rsidRDefault="002553EC" w:rsidP="002B0FB9">
            <w:pPr>
              <w:jc w:val="center"/>
              <w:rPr>
                <w:rFonts w:cs="Arial"/>
                <w:b/>
                <w:sz w:val="28"/>
              </w:rPr>
            </w:pPr>
            <w:r>
              <w:rPr>
                <w:rFonts w:cs="Arial"/>
                <w:b/>
                <w:sz w:val="28"/>
              </w:rPr>
              <w:t>INF</w:t>
            </w:r>
          </w:p>
        </w:tc>
        <w:tc>
          <w:tcPr>
            <w:tcW w:w="693" w:type="pct"/>
            <w:tcBorders>
              <w:bottom w:val="single" w:sz="4" w:space="0" w:color="auto"/>
            </w:tcBorders>
            <w:vAlign w:val="center"/>
          </w:tcPr>
          <w:p w14:paraId="2E7FA17D" w14:textId="5DFD4EBB" w:rsidR="006A5016" w:rsidRPr="004373E1" w:rsidRDefault="006A5016" w:rsidP="002B0FB9">
            <w:pPr>
              <w:jc w:val="center"/>
              <w:rPr>
                <w:rFonts w:cs="Arial"/>
                <w:b/>
                <w:sz w:val="28"/>
              </w:rPr>
            </w:pPr>
            <w:r w:rsidRPr="004373E1">
              <w:rPr>
                <w:rFonts w:cs="Arial"/>
                <w:b/>
                <w:sz w:val="28"/>
              </w:rPr>
              <w:t>0</w:t>
            </w:r>
            <w:r>
              <w:rPr>
                <w:rFonts w:cs="Arial"/>
                <w:b/>
                <w:sz w:val="28"/>
              </w:rPr>
              <w:t>00</w:t>
            </w:r>
            <w:r w:rsidR="007B3E85">
              <w:rPr>
                <w:rFonts w:cs="Arial"/>
                <w:b/>
                <w:sz w:val="28"/>
              </w:rPr>
              <w:t>2</w:t>
            </w:r>
          </w:p>
        </w:tc>
        <w:tc>
          <w:tcPr>
            <w:tcW w:w="716" w:type="pct"/>
            <w:tcBorders>
              <w:top w:val="single" w:sz="4" w:space="0" w:color="auto"/>
              <w:bottom w:val="single" w:sz="4" w:space="0" w:color="auto"/>
              <w:right w:val="single" w:sz="4" w:space="0" w:color="auto"/>
            </w:tcBorders>
            <w:vAlign w:val="center"/>
          </w:tcPr>
          <w:p w14:paraId="7162FEC4" w14:textId="2B456F16" w:rsidR="006A5016" w:rsidRPr="004373E1" w:rsidRDefault="007B3E85" w:rsidP="002B0FB9">
            <w:pPr>
              <w:jc w:val="center"/>
              <w:rPr>
                <w:rFonts w:cs="Arial"/>
                <w:b/>
                <w:sz w:val="28"/>
              </w:rPr>
            </w:pPr>
            <w:r>
              <w:rPr>
                <w:rFonts w:cs="Arial"/>
                <w:b/>
                <w:sz w:val="28"/>
              </w:rPr>
              <w:t>B</w:t>
            </w:r>
          </w:p>
        </w:tc>
      </w:tr>
    </w:tbl>
    <w:p w14:paraId="1C062D68" w14:textId="77777777" w:rsidR="00B9704C" w:rsidRDefault="00B9704C" w:rsidP="002030D6">
      <w:pPr>
        <w:jc w:val="both"/>
        <w:rPr>
          <w:spacing w:val="-2"/>
        </w:rPr>
        <w:sectPr w:rsidR="00B9704C" w:rsidSect="00874CFA">
          <w:footerReference w:type="default" r:id="rId10"/>
          <w:headerReference w:type="first" r:id="rId11"/>
          <w:footerReference w:type="first" r:id="rId12"/>
          <w:pgSz w:w="12240" w:h="15840" w:code="1"/>
          <w:pgMar w:top="720" w:right="720" w:bottom="720" w:left="720" w:header="708" w:footer="708" w:gutter="0"/>
          <w:cols w:space="708"/>
          <w:docGrid w:linePitch="360"/>
        </w:sectPr>
      </w:pPr>
    </w:p>
    <w:p w14:paraId="440E4665" w14:textId="6C59C334" w:rsidR="00A01DCF" w:rsidRPr="00E03B5F" w:rsidRDefault="00E03B5F" w:rsidP="002B0FB9">
      <w:pPr>
        <w:jc w:val="center"/>
        <w:rPr>
          <w:b/>
          <w:spacing w:val="-2"/>
          <w:sz w:val="32"/>
          <w:szCs w:val="32"/>
        </w:rPr>
      </w:pPr>
      <w:r w:rsidRPr="00E03B5F">
        <w:rPr>
          <w:b/>
          <w:spacing w:val="-2"/>
          <w:sz w:val="32"/>
          <w:szCs w:val="32"/>
        </w:rPr>
        <w:lastRenderedPageBreak/>
        <w:t>ÍNDICE</w:t>
      </w:r>
    </w:p>
    <w:p w14:paraId="72AF72D8" w14:textId="77777777" w:rsidR="002462C5" w:rsidRDefault="002462C5" w:rsidP="002030D6">
      <w:pPr>
        <w:jc w:val="both"/>
      </w:pPr>
    </w:p>
    <w:sdt>
      <w:sdtPr>
        <w:rPr>
          <w:lang w:val="es-ES"/>
        </w:rPr>
        <w:id w:val="-357440307"/>
        <w:docPartObj>
          <w:docPartGallery w:val="Table of Contents"/>
          <w:docPartUnique/>
        </w:docPartObj>
      </w:sdtPr>
      <w:sdtEndPr>
        <w:rPr>
          <w:b/>
          <w:bCs/>
        </w:rPr>
      </w:sdtEndPr>
      <w:sdtContent>
        <w:p w14:paraId="14B68B9C" w14:textId="19F60782" w:rsidR="0029133B" w:rsidRDefault="00E03B5F">
          <w:pPr>
            <w:pStyle w:val="TDC1"/>
            <w:tabs>
              <w:tab w:val="left" w:pos="480"/>
              <w:tab w:val="right" w:leader="dot" w:pos="10517"/>
            </w:tabs>
            <w:rPr>
              <w:rFonts w:eastAsiaTheme="minorEastAsia"/>
              <w:noProof/>
              <w:kern w:val="2"/>
              <w:sz w:val="24"/>
              <w:szCs w:val="24"/>
              <w:lang w:eastAsia="es-CL"/>
              <w14:ligatures w14:val="standardContextual"/>
            </w:rPr>
          </w:pPr>
          <w:r>
            <w:fldChar w:fldCharType="begin"/>
          </w:r>
          <w:r>
            <w:instrText xml:space="preserve"> TOC \o "1-3" \h \z \u </w:instrText>
          </w:r>
          <w:r>
            <w:fldChar w:fldCharType="separate"/>
          </w:r>
          <w:hyperlink w:anchor="_Toc190271429" w:history="1">
            <w:r w:rsidR="0029133B" w:rsidRPr="00EA2572">
              <w:rPr>
                <w:rStyle w:val="Hipervnculo"/>
                <w:noProof/>
                <w:spacing w:val="-2"/>
              </w:rPr>
              <w:t>1.</w:t>
            </w:r>
            <w:r w:rsidR="0029133B">
              <w:rPr>
                <w:rFonts w:eastAsiaTheme="minorEastAsia"/>
                <w:noProof/>
                <w:kern w:val="2"/>
                <w:sz w:val="24"/>
                <w:szCs w:val="24"/>
                <w:lang w:eastAsia="es-CL"/>
                <w14:ligatures w14:val="standardContextual"/>
              </w:rPr>
              <w:tab/>
            </w:r>
            <w:r w:rsidR="0029133B" w:rsidRPr="00EA2572">
              <w:rPr>
                <w:rStyle w:val="Hipervnculo"/>
                <w:noProof/>
                <w:spacing w:val="-2"/>
              </w:rPr>
              <w:t>INTRODUCCIÓN Y OBJETIVO</w:t>
            </w:r>
            <w:r w:rsidR="0029133B">
              <w:rPr>
                <w:noProof/>
                <w:webHidden/>
              </w:rPr>
              <w:tab/>
            </w:r>
            <w:r w:rsidR="0029133B">
              <w:rPr>
                <w:noProof/>
                <w:webHidden/>
              </w:rPr>
              <w:fldChar w:fldCharType="begin"/>
            </w:r>
            <w:r w:rsidR="0029133B">
              <w:rPr>
                <w:noProof/>
                <w:webHidden/>
              </w:rPr>
              <w:instrText xml:space="preserve"> PAGEREF _Toc190271429 \h </w:instrText>
            </w:r>
            <w:r w:rsidR="0029133B">
              <w:rPr>
                <w:noProof/>
                <w:webHidden/>
              </w:rPr>
            </w:r>
            <w:r w:rsidR="0029133B">
              <w:rPr>
                <w:noProof/>
                <w:webHidden/>
              </w:rPr>
              <w:fldChar w:fldCharType="separate"/>
            </w:r>
            <w:r w:rsidR="0029133B">
              <w:rPr>
                <w:noProof/>
                <w:webHidden/>
              </w:rPr>
              <w:t>3</w:t>
            </w:r>
            <w:r w:rsidR="0029133B">
              <w:rPr>
                <w:noProof/>
                <w:webHidden/>
              </w:rPr>
              <w:fldChar w:fldCharType="end"/>
            </w:r>
          </w:hyperlink>
        </w:p>
        <w:p w14:paraId="3A169F83" w14:textId="1EEB4AC0" w:rsidR="0029133B" w:rsidRDefault="0029133B">
          <w:pPr>
            <w:pStyle w:val="TDC1"/>
            <w:tabs>
              <w:tab w:val="left" w:pos="480"/>
              <w:tab w:val="right" w:leader="dot" w:pos="10517"/>
            </w:tabs>
            <w:rPr>
              <w:rFonts w:eastAsiaTheme="minorEastAsia"/>
              <w:noProof/>
              <w:kern w:val="2"/>
              <w:sz w:val="24"/>
              <w:szCs w:val="24"/>
              <w:lang w:eastAsia="es-CL"/>
              <w14:ligatures w14:val="standardContextual"/>
            </w:rPr>
          </w:pPr>
          <w:hyperlink w:anchor="_Toc190271430" w:history="1">
            <w:r w:rsidRPr="00EA2572">
              <w:rPr>
                <w:rStyle w:val="Hipervnculo"/>
                <w:noProof/>
                <w:spacing w:val="-2"/>
              </w:rPr>
              <w:t>2.</w:t>
            </w:r>
            <w:r>
              <w:rPr>
                <w:rFonts w:eastAsiaTheme="minorEastAsia"/>
                <w:noProof/>
                <w:kern w:val="2"/>
                <w:sz w:val="24"/>
                <w:szCs w:val="24"/>
                <w:lang w:eastAsia="es-CL"/>
                <w14:ligatures w14:val="standardContextual"/>
              </w:rPr>
              <w:tab/>
            </w:r>
            <w:r w:rsidRPr="00EA2572">
              <w:rPr>
                <w:rStyle w:val="Hipervnculo"/>
                <w:noProof/>
                <w:spacing w:val="-2"/>
              </w:rPr>
              <w:t>MARCO NORMATIVO</w:t>
            </w:r>
            <w:r>
              <w:rPr>
                <w:noProof/>
                <w:webHidden/>
              </w:rPr>
              <w:tab/>
            </w:r>
            <w:r>
              <w:rPr>
                <w:noProof/>
                <w:webHidden/>
              </w:rPr>
              <w:fldChar w:fldCharType="begin"/>
            </w:r>
            <w:r>
              <w:rPr>
                <w:noProof/>
                <w:webHidden/>
              </w:rPr>
              <w:instrText xml:space="preserve"> PAGEREF _Toc190271430 \h </w:instrText>
            </w:r>
            <w:r>
              <w:rPr>
                <w:noProof/>
                <w:webHidden/>
              </w:rPr>
            </w:r>
            <w:r>
              <w:rPr>
                <w:noProof/>
                <w:webHidden/>
              </w:rPr>
              <w:fldChar w:fldCharType="separate"/>
            </w:r>
            <w:r>
              <w:rPr>
                <w:noProof/>
                <w:webHidden/>
              </w:rPr>
              <w:t>3</w:t>
            </w:r>
            <w:r>
              <w:rPr>
                <w:noProof/>
                <w:webHidden/>
              </w:rPr>
              <w:fldChar w:fldCharType="end"/>
            </w:r>
          </w:hyperlink>
        </w:p>
        <w:p w14:paraId="10F23524" w14:textId="32952DEC" w:rsidR="0029133B" w:rsidRDefault="0029133B">
          <w:pPr>
            <w:pStyle w:val="TDC1"/>
            <w:tabs>
              <w:tab w:val="left" w:pos="480"/>
              <w:tab w:val="right" w:leader="dot" w:pos="10517"/>
            </w:tabs>
            <w:rPr>
              <w:rFonts w:eastAsiaTheme="minorEastAsia"/>
              <w:noProof/>
              <w:kern w:val="2"/>
              <w:sz w:val="24"/>
              <w:szCs w:val="24"/>
              <w:lang w:eastAsia="es-CL"/>
              <w14:ligatures w14:val="standardContextual"/>
            </w:rPr>
          </w:pPr>
          <w:hyperlink w:anchor="_Toc190271431" w:history="1">
            <w:r w:rsidRPr="00EA2572">
              <w:rPr>
                <w:rStyle w:val="Hipervnculo"/>
                <w:noProof/>
                <w:spacing w:val="-2"/>
              </w:rPr>
              <w:t>3.</w:t>
            </w:r>
            <w:r>
              <w:rPr>
                <w:rFonts w:eastAsiaTheme="minorEastAsia"/>
                <w:noProof/>
                <w:kern w:val="2"/>
                <w:sz w:val="24"/>
                <w:szCs w:val="24"/>
                <w:lang w:eastAsia="es-CL"/>
                <w14:ligatures w14:val="standardContextual"/>
              </w:rPr>
              <w:tab/>
            </w:r>
            <w:r w:rsidRPr="00EA2572">
              <w:rPr>
                <w:rStyle w:val="Hipervnculo"/>
                <w:noProof/>
                <w:spacing w:val="-2"/>
              </w:rPr>
              <w:t>ANTECEDENTES DEL PROYECTO</w:t>
            </w:r>
            <w:r>
              <w:rPr>
                <w:noProof/>
                <w:webHidden/>
              </w:rPr>
              <w:tab/>
            </w:r>
            <w:r>
              <w:rPr>
                <w:noProof/>
                <w:webHidden/>
              </w:rPr>
              <w:fldChar w:fldCharType="begin"/>
            </w:r>
            <w:r>
              <w:rPr>
                <w:noProof/>
                <w:webHidden/>
              </w:rPr>
              <w:instrText xml:space="preserve"> PAGEREF _Toc190271431 \h </w:instrText>
            </w:r>
            <w:r>
              <w:rPr>
                <w:noProof/>
                <w:webHidden/>
              </w:rPr>
            </w:r>
            <w:r>
              <w:rPr>
                <w:noProof/>
                <w:webHidden/>
              </w:rPr>
              <w:fldChar w:fldCharType="separate"/>
            </w:r>
            <w:r>
              <w:rPr>
                <w:noProof/>
                <w:webHidden/>
              </w:rPr>
              <w:t>5</w:t>
            </w:r>
            <w:r>
              <w:rPr>
                <w:noProof/>
                <w:webHidden/>
              </w:rPr>
              <w:fldChar w:fldCharType="end"/>
            </w:r>
          </w:hyperlink>
        </w:p>
        <w:p w14:paraId="36ED63AC" w14:textId="7A37D2BA" w:rsidR="0029133B" w:rsidRDefault="0029133B">
          <w:pPr>
            <w:pStyle w:val="TDC1"/>
            <w:tabs>
              <w:tab w:val="left" w:pos="480"/>
              <w:tab w:val="right" w:leader="dot" w:pos="10517"/>
            </w:tabs>
            <w:rPr>
              <w:rFonts w:eastAsiaTheme="minorEastAsia"/>
              <w:noProof/>
              <w:kern w:val="2"/>
              <w:sz w:val="24"/>
              <w:szCs w:val="24"/>
              <w:lang w:eastAsia="es-CL"/>
              <w14:ligatures w14:val="standardContextual"/>
            </w:rPr>
          </w:pPr>
          <w:hyperlink w:anchor="_Toc190271432" w:history="1">
            <w:r w:rsidRPr="00EA2572">
              <w:rPr>
                <w:rStyle w:val="Hipervnculo"/>
                <w:noProof/>
                <w:spacing w:val="-2"/>
              </w:rPr>
              <w:t>4.</w:t>
            </w:r>
            <w:r>
              <w:rPr>
                <w:rFonts w:eastAsiaTheme="minorEastAsia"/>
                <w:noProof/>
                <w:kern w:val="2"/>
                <w:sz w:val="24"/>
                <w:szCs w:val="24"/>
                <w:lang w:eastAsia="es-CL"/>
                <w14:ligatures w14:val="standardContextual"/>
              </w:rPr>
              <w:tab/>
            </w:r>
            <w:r w:rsidRPr="00EA2572">
              <w:rPr>
                <w:rStyle w:val="Hipervnculo"/>
                <w:noProof/>
                <w:spacing w:val="-2"/>
              </w:rPr>
              <w:t>DESARROLLO DE LA OBRA</w:t>
            </w:r>
            <w:r>
              <w:rPr>
                <w:noProof/>
                <w:webHidden/>
              </w:rPr>
              <w:tab/>
            </w:r>
            <w:r>
              <w:rPr>
                <w:noProof/>
                <w:webHidden/>
              </w:rPr>
              <w:fldChar w:fldCharType="begin"/>
            </w:r>
            <w:r>
              <w:rPr>
                <w:noProof/>
                <w:webHidden/>
              </w:rPr>
              <w:instrText xml:space="preserve"> PAGEREF _Toc190271432 \h </w:instrText>
            </w:r>
            <w:r>
              <w:rPr>
                <w:noProof/>
                <w:webHidden/>
              </w:rPr>
            </w:r>
            <w:r>
              <w:rPr>
                <w:noProof/>
                <w:webHidden/>
              </w:rPr>
              <w:fldChar w:fldCharType="separate"/>
            </w:r>
            <w:r>
              <w:rPr>
                <w:noProof/>
                <w:webHidden/>
              </w:rPr>
              <w:t>7</w:t>
            </w:r>
            <w:r>
              <w:rPr>
                <w:noProof/>
                <w:webHidden/>
              </w:rPr>
              <w:fldChar w:fldCharType="end"/>
            </w:r>
          </w:hyperlink>
        </w:p>
        <w:p w14:paraId="4C157CCC" w14:textId="6178936C" w:rsidR="0029133B" w:rsidRDefault="0029133B">
          <w:pPr>
            <w:pStyle w:val="TDC1"/>
            <w:tabs>
              <w:tab w:val="left" w:pos="480"/>
              <w:tab w:val="right" w:leader="dot" w:pos="10517"/>
            </w:tabs>
            <w:rPr>
              <w:rFonts w:eastAsiaTheme="minorEastAsia"/>
              <w:noProof/>
              <w:kern w:val="2"/>
              <w:sz w:val="24"/>
              <w:szCs w:val="24"/>
              <w:lang w:eastAsia="es-CL"/>
              <w14:ligatures w14:val="standardContextual"/>
            </w:rPr>
          </w:pPr>
          <w:hyperlink w:anchor="_Toc190271433" w:history="1">
            <w:r w:rsidRPr="00EA2572">
              <w:rPr>
                <w:rStyle w:val="Hipervnculo"/>
                <w:noProof/>
                <w:spacing w:val="-2"/>
              </w:rPr>
              <w:t>5.</w:t>
            </w:r>
            <w:r>
              <w:rPr>
                <w:rFonts w:eastAsiaTheme="minorEastAsia"/>
                <w:noProof/>
                <w:kern w:val="2"/>
                <w:sz w:val="24"/>
                <w:szCs w:val="24"/>
                <w:lang w:eastAsia="es-CL"/>
                <w14:ligatures w14:val="standardContextual"/>
              </w:rPr>
              <w:tab/>
            </w:r>
            <w:r w:rsidRPr="00EA2572">
              <w:rPr>
                <w:rStyle w:val="Hipervnculo"/>
                <w:noProof/>
                <w:spacing w:val="-2"/>
              </w:rPr>
              <w:t>DETALLES DEL RETRASO</w:t>
            </w:r>
            <w:r>
              <w:rPr>
                <w:noProof/>
                <w:webHidden/>
              </w:rPr>
              <w:tab/>
            </w:r>
            <w:r>
              <w:rPr>
                <w:noProof/>
                <w:webHidden/>
              </w:rPr>
              <w:fldChar w:fldCharType="begin"/>
            </w:r>
            <w:r>
              <w:rPr>
                <w:noProof/>
                <w:webHidden/>
              </w:rPr>
              <w:instrText xml:space="preserve"> PAGEREF _Toc190271433 \h </w:instrText>
            </w:r>
            <w:r>
              <w:rPr>
                <w:noProof/>
                <w:webHidden/>
              </w:rPr>
            </w:r>
            <w:r>
              <w:rPr>
                <w:noProof/>
                <w:webHidden/>
              </w:rPr>
              <w:fldChar w:fldCharType="separate"/>
            </w:r>
            <w:r>
              <w:rPr>
                <w:noProof/>
                <w:webHidden/>
              </w:rPr>
              <w:t>8</w:t>
            </w:r>
            <w:r>
              <w:rPr>
                <w:noProof/>
                <w:webHidden/>
              </w:rPr>
              <w:fldChar w:fldCharType="end"/>
            </w:r>
          </w:hyperlink>
        </w:p>
        <w:p w14:paraId="6F618A9A" w14:textId="3F045ADE" w:rsidR="0029133B" w:rsidRDefault="0029133B">
          <w:pPr>
            <w:pStyle w:val="TDC1"/>
            <w:tabs>
              <w:tab w:val="left" w:pos="480"/>
              <w:tab w:val="right" w:leader="dot" w:pos="10517"/>
            </w:tabs>
            <w:rPr>
              <w:rFonts w:eastAsiaTheme="minorEastAsia"/>
              <w:noProof/>
              <w:kern w:val="2"/>
              <w:sz w:val="24"/>
              <w:szCs w:val="24"/>
              <w:lang w:eastAsia="es-CL"/>
              <w14:ligatures w14:val="standardContextual"/>
            </w:rPr>
          </w:pPr>
          <w:hyperlink w:anchor="_Toc190271434" w:history="1">
            <w:r w:rsidRPr="00EA2572">
              <w:rPr>
                <w:rStyle w:val="Hipervnculo"/>
                <w:noProof/>
                <w:spacing w:val="-2"/>
              </w:rPr>
              <w:t>6.</w:t>
            </w:r>
            <w:r>
              <w:rPr>
                <w:rFonts w:eastAsiaTheme="minorEastAsia"/>
                <w:noProof/>
                <w:kern w:val="2"/>
                <w:sz w:val="24"/>
                <w:szCs w:val="24"/>
                <w:lang w:eastAsia="es-CL"/>
                <w14:ligatures w14:val="standardContextual"/>
              </w:rPr>
              <w:tab/>
            </w:r>
            <w:r w:rsidRPr="00EA2572">
              <w:rPr>
                <w:rStyle w:val="Hipervnculo"/>
                <w:noProof/>
                <w:spacing w:val="-2"/>
              </w:rPr>
              <w:t>DETALLES DE SOLICITUD DE INICIO DE PROCESO DE INTERCONEXIÓN</w:t>
            </w:r>
            <w:r>
              <w:rPr>
                <w:noProof/>
                <w:webHidden/>
              </w:rPr>
              <w:tab/>
            </w:r>
            <w:r>
              <w:rPr>
                <w:noProof/>
                <w:webHidden/>
              </w:rPr>
              <w:fldChar w:fldCharType="begin"/>
            </w:r>
            <w:r>
              <w:rPr>
                <w:noProof/>
                <w:webHidden/>
              </w:rPr>
              <w:instrText xml:space="preserve"> PAGEREF _Toc190271434 \h </w:instrText>
            </w:r>
            <w:r>
              <w:rPr>
                <w:noProof/>
                <w:webHidden/>
              </w:rPr>
            </w:r>
            <w:r>
              <w:rPr>
                <w:noProof/>
                <w:webHidden/>
              </w:rPr>
              <w:fldChar w:fldCharType="separate"/>
            </w:r>
            <w:r>
              <w:rPr>
                <w:noProof/>
                <w:webHidden/>
              </w:rPr>
              <w:t>9</w:t>
            </w:r>
            <w:r>
              <w:rPr>
                <w:noProof/>
                <w:webHidden/>
              </w:rPr>
              <w:fldChar w:fldCharType="end"/>
            </w:r>
          </w:hyperlink>
        </w:p>
        <w:p w14:paraId="0C0F36C0" w14:textId="3963C77D" w:rsidR="0029133B" w:rsidRDefault="0029133B">
          <w:pPr>
            <w:pStyle w:val="TDC1"/>
            <w:tabs>
              <w:tab w:val="left" w:pos="480"/>
              <w:tab w:val="right" w:leader="dot" w:pos="10517"/>
            </w:tabs>
            <w:rPr>
              <w:rFonts w:eastAsiaTheme="minorEastAsia"/>
              <w:noProof/>
              <w:kern w:val="2"/>
              <w:sz w:val="24"/>
              <w:szCs w:val="24"/>
              <w:lang w:eastAsia="es-CL"/>
              <w14:ligatures w14:val="standardContextual"/>
            </w:rPr>
          </w:pPr>
          <w:hyperlink w:anchor="_Toc190271435" w:history="1">
            <w:r w:rsidRPr="00EA2572">
              <w:rPr>
                <w:rStyle w:val="Hipervnculo"/>
                <w:noProof/>
                <w:spacing w:val="-2"/>
              </w:rPr>
              <w:t>7.</w:t>
            </w:r>
            <w:r>
              <w:rPr>
                <w:rFonts w:eastAsiaTheme="minorEastAsia"/>
                <w:noProof/>
                <w:kern w:val="2"/>
                <w:sz w:val="24"/>
                <w:szCs w:val="24"/>
                <w:lang w:eastAsia="es-CL"/>
                <w14:ligatures w14:val="standardContextual"/>
              </w:rPr>
              <w:tab/>
            </w:r>
            <w:r w:rsidRPr="00EA2572">
              <w:rPr>
                <w:rStyle w:val="Hipervnculo"/>
                <w:noProof/>
                <w:spacing w:val="-2"/>
              </w:rPr>
              <w:t>CONCLUSIONES</w:t>
            </w:r>
            <w:r>
              <w:rPr>
                <w:noProof/>
                <w:webHidden/>
              </w:rPr>
              <w:tab/>
            </w:r>
            <w:r>
              <w:rPr>
                <w:noProof/>
                <w:webHidden/>
              </w:rPr>
              <w:fldChar w:fldCharType="begin"/>
            </w:r>
            <w:r>
              <w:rPr>
                <w:noProof/>
                <w:webHidden/>
              </w:rPr>
              <w:instrText xml:space="preserve"> PAGEREF _Toc190271435 \h </w:instrText>
            </w:r>
            <w:r>
              <w:rPr>
                <w:noProof/>
                <w:webHidden/>
              </w:rPr>
            </w:r>
            <w:r>
              <w:rPr>
                <w:noProof/>
                <w:webHidden/>
              </w:rPr>
              <w:fldChar w:fldCharType="separate"/>
            </w:r>
            <w:r>
              <w:rPr>
                <w:noProof/>
                <w:webHidden/>
              </w:rPr>
              <w:t>11</w:t>
            </w:r>
            <w:r>
              <w:rPr>
                <w:noProof/>
                <w:webHidden/>
              </w:rPr>
              <w:fldChar w:fldCharType="end"/>
            </w:r>
          </w:hyperlink>
        </w:p>
        <w:p w14:paraId="18DD8573" w14:textId="3EB42084" w:rsidR="00776A4D" w:rsidRPr="00776A4D" w:rsidRDefault="00E03B5F" w:rsidP="002553EC">
          <w:pPr>
            <w:pStyle w:val="TDC1"/>
            <w:tabs>
              <w:tab w:val="left" w:pos="880"/>
              <w:tab w:val="right" w:leader="dot" w:pos="10790"/>
            </w:tabs>
            <w:jc w:val="both"/>
            <w:rPr>
              <w:lang w:val="es-ES"/>
            </w:rPr>
          </w:pPr>
          <w:r>
            <w:rPr>
              <w:b/>
              <w:bCs/>
              <w:lang w:val="es-ES"/>
            </w:rPr>
            <w:fldChar w:fldCharType="end"/>
          </w:r>
        </w:p>
        <w:p w14:paraId="5147652C" w14:textId="56BE05F0" w:rsidR="00776A4D" w:rsidRPr="005B662A" w:rsidRDefault="00776A4D" w:rsidP="00776A4D">
          <w:pPr>
            <w:jc w:val="center"/>
            <w:rPr>
              <w:b/>
              <w:spacing w:val="-2"/>
              <w:sz w:val="32"/>
              <w:szCs w:val="32"/>
            </w:rPr>
          </w:pPr>
          <w:r>
            <w:rPr>
              <w:b/>
              <w:spacing w:val="-2"/>
              <w:sz w:val="32"/>
              <w:szCs w:val="32"/>
            </w:rPr>
            <w:t>Figuras</w:t>
          </w:r>
        </w:p>
        <w:p w14:paraId="286CF403" w14:textId="33385E32" w:rsidR="0075343A" w:rsidRPr="0075343A" w:rsidRDefault="00776A4D">
          <w:pPr>
            <w:pStyle w:val="Tabladeilustraciones"/>
            <w:tabs>
              <w:tab w:val="right" w:leader="dot" w:pos="10517"/>
            </w:tabs>
            <w:rPr>
              <w:rFonts w:eastAsiaTheme="minorEastAsia"/>
              <w:noProof/>
              <w:kern w:val="2"/>
              <w:sz w:val="20"/>
              <w:szCs w:val="20"/>
              <w:lang w:eastAsia="es-CL"/>
              <w14:ligatures w14:val="standardContextual"/>
            </w:rPr>
          </w:pPr>
          <w:r w:rsidRPr="0075343A">
            <w:rPr>
              <w:sz w:val="20"/>
              <w:szCs w:val="20"/>
            </w:rPr>
            <w:fldChar w:fldCharType="begin"/>
          </w:r>
          <w:r w:rsidRPr="0075343A">
            <w:rPr>
              <w:sz w:val="20"/>
              <w:szCs w:val="20"/>
            </w:rPr>
            <w:instrText xml:space="preserve"> TOC \h \z \c "Figura" </w:instrText>
          </w:r>
          <w:r w:rsidRPr="0075343A">
            <w:rPr>
              <w:sz w:val="20"/>
              <w:szCs w:val="20"/>
            </w:rPr>
            <w:fldChar w:fldCharType="separate"/>
          </w:r>
          <w:hyperlink w:anchor="_Toc190271589" w:history="1">
            <w:r w:rsidR="0075343A" w:rsidRPr="0075343A">
              <w:rPr>
                <w:rStyle w:val="Hipervnculo"/>
                <w:noProof/>
                <w:sz w:val="20"/>
                <w:szCs w:val="20"/>
              </w:rPr>
              <w:t>Figura 3</w:t>
            </w:r>
            <w:r w:rsidR="0075343A" w:rsidRPr="0075343A">
              <w:rPr>
                <w:rStyle w:val="Hipervnculo"/>
                <w:noProof/>
                <w:sz w:val="20"/>
                <w:szCs w:val="20"/>
              </w:rPr>
              <w:noBreakHyphen/>
              <w:t>1 Unilineal Simplificado S/E Lagunas 23 kV (Extracto Informe SUCTD Definitivo)</w:t>
            </w:r>
            <w:r w:rsidR="0075343A" w:rsidRPr="0075343A">
              <w:rPr>
                <w:noProof/>
                <w:webHidden/>
                <w:sz w:val="20"/>
                <w:szCs w:val="20"/>
              </w:rPr>
              <w:tab/>
            </w:r>
            <w:r w:rsidR="0075343A" w:rsidRPr="0075343A">
              <w:rPr>
                <w:noProof/>
                <w:webHidden/>
                <w:sz w:val="20"/>
                <w:szCs w:val="20"/>
              </w:rPr>
              <w:fldChar w:fldCharType="begin"/>
            </w:r>
            <w:r w:rsidR="0075343A" w:rsidRPr="0075343A">
              <w:rPr>
                <w:noProof/>
                <w:webHidden/>
                <w:sz w:val="20"/>
                <w:szCs w:val="20"/>
              </w:rPr>
              <w:instrText xml:space="preserve"> PAGEREF _Toc190271589 \h </w:instrText>
            </w:r>
            <w:r w:rsidR="0075343A" w:rsidRPr="0075343A">
              <w:rPr>
                <w:noProof/>
                <w:webHidden/>
                <w:sz w:val="20"/>
                <w:szCs w:val="20"/>
              </w:rPr>
            </w:r>
            <w:r w:rsidR="0075343A" w:rsidRPr="0075343A">
              <w:rPr>
                <w:noProof/>
                <w:webHidden/>
                <w:sz w:val="20"/>
                <w:szCs w:val="20"/>
              </w:rPr>
              <w:fldChar w:fldCharType="separate"/>
            </w:r>
            <w:r w:rsidR="0075343A" w:rsidRPr="0075343A">
              <w:rPr>
                <w:noProof/>
                <w:webHidden/>
                <w:sz w:val="20"/>
                <w:szCs w:val="20"/>
              </w:rPr>
              <w:t>6</w:t>
            </w:r>
            <w:r w:rsidR="0075343A" w:rsidRPr="0075343A">
              <w:rPr>
                <w:noProof/>
                <w:webHidden/>
                <w:sz w:val="20"/>
                <w:szCs w:val="20"/>
              </w:rPr>
              <w:fldChar w:fldCharType="end"/>
            </w:r>
          </w:hyperlink>
        </w:p>
        <w:p w14:paraId="76D9EEC1" w14:textId="6C1D6A0F" w:rsidR="0075343A" w:rsidRPr="0075343A" w:rsidRDefault="0075343A">
          <w:pPr>
            <w:pStyle w:val="Tabladeilustraciones"/>
            <w:tabs>
              <w:tab w:val="right" w:leader="dot" w:pos="10517"/>
            </w:tabs>
            <w:rPr>
              <w:rFonts w:eastAsiaTheme="minorEastAsia"/>
              <w:noProof/>
              <w:kern w:val="2"/>
              <w:sz w:val="20"/>
              <w:szCs w:val="20"/>
              <w:lang w:eastAsia="es-CL"/>
              <w14:ligatures w14:val="standardContextual"/>
            </w:rPr>
          </w:pPr>
          <w:hyperlink w:anchor="_Toc190271590" w:history="1">
            <w:r w:rsidRPr="0075343A">
              <w:rPr>
                <w:rStyle w:val="Hipervnculo"/>
                <w:noProof/>
                <w:sz w:val="20"/>
                <w:szCs w:val="20"/>
              </w:rPr>
              <w:t>Figura 3</w:t>
            </w:r>
            <w:r w:rsidRPr="0075343A">
              <w:rPr>
                <w:rStyle w:val="Hipervnculo"/>
                <w:noProof/>
                <w:sz w:val="20"/>
                <w:szCs w:val="20"/>
              </w:rPr>
              <w:noBreakHyphen/>
              <w:t>2 Extracto Resolución Exenta N°616</w:t>
            </w:r>
            <w:r w:rsidRPr="0075343A">
              <w:rPr>
                <w:noProof/>
                <w:webHidden/>
                <w:sz w:val="20"/>
                <w:szCs w:val="20"/>
              </w:rPr>
              <w:tab/>
            </w:r>
            <w:r w:rsidRPr="0075343A">
              <w:rPr>
                <w:noProof/>
                <w:webHidden/>
                <w:sz w:val="20"/>
                <w:szCs w:val="20"/>
              </w:rPr>
              <w:fldChar w:fldCharType="begin"/>
            </w:r>
            <w:r w:rsidRPr="0075343A">
              <w:rPr>
                <w:noProof/>
                <w:webHidden/>
                <w:sz w:val="20"/>
                <w:szCs w:val="20"/>
              </w:rPr>
              <w:instrText xml:space="preserve"> PAGEREF _Toc190271590 \h </w:instrText>
            </w:r>
            <w:r w:rsidRPr="0075343A">
              <w:rPr>
                <w:noProof/>
                <w:webHidden/>
                <w:sz w:val="20"/>
                <w:szCs w:val="20"/>
              </w:rPr>
            </w:r>
            <w:r w:rsidRPr="0075343A">
              <w:rPr>
                <w:noProof/>
                <w:webHidden/>
                <w:sz w:val="20"/>
                <w:szCs w:val="20"/>
              </w:rPr>
              <w:fldChar w:fldCharType="separate"/>
            </w:r>
            <w:r w:rsidRPr="0075343A">
              <w:rPr>
                <w:noProof/>
                <w:webHidden/>
                <w:sz w:val="20"/>
                <w:szCs w:val="20"/>
              </w:rPr>
              <w:t>6</w:t>
            </w:r>
            <w:r w:rsidRPr="0075343A">
              <w:rPr>
                <w:noProof/>
                <w:webHidden/>
                <w:sz w:val="20"/>
                <w:szCs w:val="20"/>
              </w:rPr>
              <w:fldChar w:fldCharType="end"/>
            </w:r>
          </w:hyperlink>
        </w:p>
        <w:p w14:paraId="21A94FE3" w14:textId="634456C3" w:rsidR="0075343A" w:rsidRPr="0075343A" w:rsidRDefault="0075343A">
          <w:pPr>
            <w:pStyle w:val="Tabladeilustraciones"/>
            <w:tabs>
              <w:tab w:val="right" w:leader="dot" w:pos="10517"/>
            </w:tabs>
            <w:rPr>
              <w:rFonts w:eastAsiaTheme="minorEastAsia"/>
              <w:noProof/>
              <w:kern w:val="2"/>
              <w:sz w:val="20"/>
              <w:szCs w:val="20"/>
              <w:lang w:eastAsia="es-CL"/>
              <w14:ligatures w14:val="standardContextual"/>
            </w:rPr>
          </w:pPr>
          <w:hyperlink w:anchor="_Toc190271591" w:history="1">
            <w:r w:rsidRPr="0075343A">
              <w:rPr>
                <w:rStyle w:val="Hipervnculo"/>
                <w:noProof/>
                <w:sz w:val="20"/>
                <w:szCs w:val="20"/>
              </w:rPr>
              <w:t>Figura 4</w:t>
            </w:r>
            <w:r w:rsidRPr="0075343A">
              <w:rPr>
                <w:rStyle w:val="Hipervnculo"/>
                <w:noProof/>
                <w:sz w:val="20"/>
                <w:szCs w:val="20"/>
              </w:rPr>
              <w:noBreakHyphen/>
              <w:t>1 Fotografías durante protocolización de Celda</w:t>
            </w:r>
            <w:r w:rsidRPr="0075343A">
              <w:rPr>
                <w:noProof/>
                <w:webHidden/>
                <w:sz w:val="20"/>
                <w:szCs w:val="20"/>
              </w:rPr>
              <w:tab/>
            </w:r>
            <w:r w:rsidRPr="0075343A">
              <w:rPr>
                <w:noProof/>
                <w:webHidden/>
                <w:sz w:val="20"/>
                <w:szCs w:val="20"/>
              </w:rPr>
              <w:fldChar w:fldCharType="begin"/>
            </w:r>
            <w:r w:rsidRPr="0075343A">
              <w:rPr>
                <w:noProof/>
                <w:webHidden/>
                <w:sz w:val="20"/>
                <w:szCs w:val="20"/>
              </w:rPr>
              <w:instrText xml:space="preserve"> PAGEREF _Toc190271591 \h </w:instrText>
            </w:r>
            <w:r w:rsidRPr="0075343A">
              <w:rPr>
                <w:noProof/>
                <w:webHidden/>
                <w:sz w:val="20"/>
                <w:szCs w:val="20"/>
              </w:rPr>
            </w:r>
            <w:r w:rsidRPr="0075343A">
              <w:rPr>
                <w:noProof/>
                <w:webHidden/>
                <w:sz w:val="20"/>
                <w:szCs w:val="20"/>
              </w:rPr>
              <w:fldChar w:fldCharType="separate"/>
            </w:r>
            <w:r w:rsidRPr="0075343A">
              <w:rPr>
                <w:noProof/>
                <w:webHidden/>
                <w:sz w:val="20"/>
                <w:szCs w:val="20"/>
              </w:rPr>
              <w:t>7</w:t>
            </w:r>
            <w:r w:rsidRPr="0075343A">
              <w:rPr>
                <w:noProof/>
                <w:webHidden/>
                <w:sz w:val="20"/>
                <w:szCs w:val="20"/>
              </w:rPr>
              <w:fldChar w:fldCharType="end"/>
            </w:r>
          </w:hyperlink>
        </w:p>
        <w:p w14:paraId="776A6EFC" w14:textId="473B09A2" w:rsidR="0075343A" w:rsidRPr="0075343A" w:rsidRDefault="0075343A">
          <w:pPr>
            <w:pStyle w:val="Tabladeilustraciones"/>
            <w:tabs>
              <w:tab w:val="right" w:leader="dot" w:pos="10517"/>
            </w:tabs>
            <w:rPr>
              <w:rFonts w:eastAsiaTheme="minorEastAsia"/>
              <w:noProof/>
              <w:kern w:val="2"/>
              <w:sz w:val="20"/>
              <w:szCs w:val="20"/>
              <w:lang w:eastAsia="es-CL"/>
              <w14:ligatures w14:val="standardContextual"/>
            </w:rPr>
          </w:pPr>
          <w:hyperlink w:anchor="_Toc190271592" w:history="1">
            <w:r w:rsidRPr="0075343A">
              <w:rPr>
                <w:rStyle w:val="Hipervnculo"/>
                <w:noProof/>
                <w:sz w:val="20"/>
                <w:szCs w:val="20"/>
              </w:rPr>
              <w:t>Figura 6</w:t>
            </w:r>
            <w:r w:rsidRPr="0075343A">
              <w:rPr>
                <w:rStyle w:val="Hipervnculo"/>
                <w:noProof/>
                <w:sz w:val="20"/>
                <w:szCs w:val="20"/>
              </w:rPr>
              <w:noBreakHyphen/>
              <w:t>1 Extracto Anexo N°2_CEM Definitiva</w:t>
            </w:r>
            <w:r w:rsidRPr="0075343A">
              <w:rPr>
                <w:noProof/>
                <w:webHidden/>
                <w:sz w:val="20"/>
                <w:szCs w:val="20"/>
              </w:rPr>
              <w:tab/>
            </w:r>
            <w:r w:rsidRPr="0075343A">
              <w:rPr>
                <w:noProof/>
                <w:webHidden/>
                <w:sz w:val="20"/>
                <w:szCs w:val="20"/>
              </w:rPr>
              <w:fldChar w:fldCharType="begin"/>
            </w:r>
            <w:r w:rsidRPr="0075343A">
              <w:rPr>
                <w:noProof/>
                <w:webHidden/>
                <w:sz w:val="20"/>
                <w:szCs w:val="20"/>
              </w:rPr>
              <w:instrText xml:space="preserve"> PAGEREF _Toc190271592 \h </w:instrText>
            </w:r>
            <w:r w:rsidRPr="0075343A">
              <w:rPr>
                <w:noProof/>
                <w:webHidden/>
                <w:sz w:val="20"/>
                <w:szCs w:val="20"/>
              </w:rPr>
            </w:r>
            <w:r w:rsidRPr="0075343A">
              <w:rPr>
                <w:noProof/>
                <w:webHidden/>
                <w:sz w:val="20"/>
                <w:szCs w:val="20"/>
              </w:rPr>
              <w:fldChar w:fldCharType="separate"/>
            </w:r>
            <w:r w:rsidRPr="0075343A">
              <w:rPr>
                <w:noProof/>
                <w:webHidden/>
                <w:sz w:val="20"/>
                <w:szCs w:val="20"/>
              </w:rPr>
              <w:t>10</w:t>
            </w:r>
            <w:r w:rsidRPr="0075343A">
              <w:rPr>
                <w:noProof/>
                <w:webHidden/>
                <w:sz w:val="20"/>
                <w:szCs w:val="20"/>
              </w:rPr>
              <w:fldChar w:fldCharType="end"/>
            </w:r>
          </w:hyperlink>
        </w:p>
        <w:p w14:paraId="4930AA3D" w14:textId="325500A4" w:rsidR="0075343A" w:rsidRPr="0075343A" w:rsidRDefault="0075343A">
          <w:pPr>
            <w:pStyle w:val="Tabladeilustraciones"/>
            <w:tabs>
              <w:tab w:val="right" w:leader="dot" w:pos="10517"/>
            </w:tabs>
            <w:rPr>
              <w:rFonts w:eastAsiaTheme="minorEastAsia"/>
              <w:noProof/>
              <w:kern w:val="2"/>
              <w:sz w:val="20"/>
              <w:szCs w:val="20"/>
              <w:lang w:eastAsia="es-CL"/>
              <w14:ligatures w14:val="standardContextual"/>
            </w:rPr>
          </w:pPr>
          <w:hyperlink w:anchor="_Toc190271593" w:history="1">
            <w:r w:rsidRPr="0075343A">
              <w:rPr>
                <w:rStyle w:val="Hipervnculo"/>
                <w:noProof/>
                <w:sz w:val="20"/>
                <w:szCs w:val="20"/>
              </w:rPr>
              <w:t>Figura 6</w:t>
            </w:r>
            <w:r w:rsidRPr="0075343A">
              <w:rPr>
                <w:rStyle w:val="Hipervnculo"/>
                <w:noProof/>
                <w:sz w:val="20"/>
                <w:szCs w:val="20"/>
              </w:rPr>
              <w:noBreakHyphen/>
              <w:t>2 NUP 3703 – PGP Coordinador Eléctrico Nacional – Febrero 2025</w:t>
            </w:r>
            <w:r w:rsidRPr="0075343A">
              <w:rPr>
                <w:noProof/>
                <w:webHidden/>
                <w:sz w:val="20"/>
                <w:szCs w:val="20"/>
              </w:rPr>
              <w:tab/>
            </w:r>
            <w:r w:rsidRPr="0075343A">
              <w:rPr>
                <w:noProof/>
                <w:webHidden/>
                <w:sz w:val="20"/>
                <w:szCs w:val="20"/>
              </w:rPr>
              <w:fldChar w:fldCharType="begin"/>
            </w:r>
            <w:r w:rsidRPr="0075343A">
              <w:rPr>
                <w:noProof/>
                <w:webHidden/>
                <w:sz w:val="20"/>
                <w:szCs w:val="20"/>
              </w:rPr>
              <w:instrText xml:space="preserve"> PAGEREF _Toc190271593 \h </w:instrText>
            </w:r>
            <w:r w:rsidRPr="0075343A">
              <w:rPr>
                <w:noProof/>
                <w:webHidden/>
                <w:sz w:val="20"/>
                <w:szCs w:val="20"/>
              </w:rPr>
            </w:r>
            <w:r w:rsidRPr="0075343A">
              <w:rPr>
                <w:noProof/>
                <w:webHidden/>
                <w:sz w:val="20"/>
                <w:szCs w:val="20"/>
              </w:rPr>
              <w:fldChar w:fldCharType="separate"/>
            </w:r>
            <w:r w:rsidRPr="0075343A">
              <w:rPr>
                <w:noProof/>
                <w:webHidden/>
                <w:sz w:val="20"/>
                <w:szCs w:val="20"/>
              </w:rPr>
              <w:t>11</w:t>
            </w:r>
            <w:r w:rsidRPr="0075343A">
              <w:rPr>
                <w:noProof/>
                <w:webHidden/>
                <w:sz w:val="20"/>
                <w:szCs w:val="20"/>
              </w:rPr>
              <w:fldChar w:fldCharType="end"/>
            </w:r>
          </w:hyperlink>
        </w:p>
        <w:p w14:paraId="0D134519" w14:textId="6AFFC731" w:rsidR="009631E3" w:rsidRPr="0050778D" w:rsidRDefault="00776A4D" w:rsidP="002030D6">
          <w:pPr>
            <w:jc w:val="both"/>
          </w:pPr>
          <w:r w:rsidRPr="0075343A">
            <w:rPr>
              <w:sz w:val="20"/>
              <w:szCs w:val="20"/>
            </w:rPr>
            <w:fldChar w:fldCharType="end"/>
          </w:r>
        </w:p>
      </w:sdtContent>
    </w:sdt>
    <w:p w14:paraId="3E190777" w14:textId="614035A6" w:rsidR="00DF3FB1" w:rsidRDefault="00DF3FB1">
      <w:r>
        <w:br w:type="page"/>
      </w:r>
    </w:p>
    <w:p w14:paraId="44777BDF" w14:textId="65DBD8CC" w:rsidR="002553EC" w:rsidRPr="00BD0300" w:rsidRDefault="002553EC" w:rsidP="002553EC">
      <w:pPr>
        <w:pStyle w:val="Ttulo1"/>
        <w:numPr>
          <w:ilvl w:val="0"/>
          <w:numId w:val="1"/>
        </w:numPr>
        <w:pBdr>
          <w:bottom w:val="single" w:sz="4" w:space="1" w:color="auto"/>
        </w:pBdr>
        <w:ind w:left="426" w:right="27" w:hanging="426"/>
        <w:jc w:val="both"/>
        <w:rPr>
          <w:spacing w:val="-2"/>
          <w:lang w:val="es-CL"/>
        </w:rPr>
      </w:pPr>
      <w:bookmarkStart w:id="1" w:name="_Toc190271429"/>
      <w:r>
        <w:rPr>
          <w:spacing w:val="-2"/>
          <w:lang w:val="es-CL"/>
        </w:rPr>
        <w:lastRenderedPageBreak/>
        <w:t>INTRODUCCIÓN</w:t>
      </w:r>
      <w:r w:rsidR="00E03F39">
        <w:rPr>
          <w:spacing w:val="-2"/>
          <w:lang w:val="es-CL"/>
        </w:rPr>
        <w:t xml:space="preserve"> Y OBJETIVO</w:t>
      </w:r>
      <w:bookmarkEnd w:id="1"/>
    </w:p>
    <w:p w14:paraId="5CF31308" w14:textId="67D1EA99" w:rsidR="005F4121" w:rsidRPr="005F4121" w:rsidRDefault="005F4121" w:rsidP="005F4121">
      <w:pPr>
        <w:spacing w:before="240"/>
        <w:jc w:val="both"/>
        <w:rPr>
          <w:rFonts w:ascii="Calibri" w:eastAsia="Calibri" w:hAnsi="Calibri" w:cs="Calibri"/>
        </w:rPr>
      </w:pPr>
      <w:r w:rsidRPr="005F4121">
        <w:rPr>
          <w:rFonts w:ascii="Calibri" w:eastAsia="Calibri" w:hAnsi="Calibri" w:cs="Calibri"/>
        </w:rPr>
        <w:t>El presente informe ha sido solicitado por la Sociedad Química y Minera de Chile S.A. (SQM) para dar respuesta a los requisitos establecidos por el Coordinador Eléctrico Nacional (CEN) en relación con los atrasos del proyecto “Aumento de Potencia Consumo TEA S/E Lagunas (10 MW)”, correspondiente al Número Único de Proyecto (NUP) 3703. Este proyecto forma parte del proceso de expansión y optimización de la infraestructura eléctrica de las faenas TEA y Hermosa de SQM, ubicadas en el sector Nueva Victoria.</w:t>
      </w:r>
    </w:p>
    <w:p w14:paraId="2450FC84" w14:textId="30D57CCF" w:rsidR="005F4121" w:rsidRPr="005F4121" w:rsidRDefault="005F4121" w:rsidP="005F4121">
      <w:pPr>
        <w:spacing w:before="240"/>
        <w:jc w:val="both"/>
        <w:rPr>
          <w:rFonts w:ascii="Calibri" w:eastAsia="Calibri" w:hAnsi="Calibri" w:cs="Calibri"/>
        </w:rPr>
      </w:pPr>
      <w:r w:rsidRPr="005F4121">
        <w:rPr>
          <w:rFonts w:ascii="Calibri" w:eastAsia="Calibri" w:hAnsi="Calibri" w:cs="Calibri"/>
        </w:rPr>
        <w:t xml:space="preserve">El objetivo principal del proyecto es incrementar la capacidad de producción de las instalaciones TEA y Hermosa, las cuales actualmente están alimentadas eléctricamente mediante el Paño E1 existente en el patio de 23 kV de la subestación Lagunas, propiedad de </w:t>
      </w:r>
      <w:proofErr w:type="spellStart"/>
      <w:r w:rsidRPr="005F4121">
        <w:rPr>
          <w:rFonts w:ascii="Calibri" w:eastAsia="Calibri" w:hAnsi="Calibri" w:cs="Calibri"/>
        </w:rPr>
        <w:t>Transelec</w:t>
      </w:r>
      <w:proofErr w:type="spellEnd"/>
      <w:r w:rsidRPr="005F4121">
        <w:rPr>
          <w:rFonts w:ascii="Calibri" w:eastAsia="Calibri" w:hAnsi="Calibri" w:cs="Calibri"/>
        </w:rPr>
        <w:t xml:space="preserve"> S.A. Dicho aumento en la capacidad de producción requiere una ampliación de la demanda eléctrica de 2 a 10 MW, lo que ha sido aprobado por el Coordinador Eléctrico Nacional a través del proceso de Acceso Abierto</w:t>
      </w:r>
      <w:r w:rsidR="000D0F87">
        <w:rPr>
          <w:rFonts w:ascii="Calibri" w:eastAsia="Calibri" w:hAnsi="Calibri" w:cs="Calibri"/>
        </w:rPr>
        <w:t>. Además.</w:t>
      </w:r>
    </w:p>
    <w:p w14:paraId="1A6ED165" w14:textId="75A6E772" w:rsidR="005F4121" w:rsidRPr="005F4121" w:rsidRDefault="005F4121" w:rsidP="005F4121">
      <w:pPr>
        <w:spacing w:before="240"/>
        <w:jc w:val="both"/>
        <w:rPr>
          <w:rFonts w:ascii="Calibri" w:eastAsia="Calibri" w:hAnsi="Calibri" w:cs="Calibri"/>
        </w:rPr>
      </w:pPr>
      <w:r w:rsidRPr="005F4121">
        <w:rPr>
          <w:rFonts w:ascii="Calibri" w:eastAsia="Calibri" w:hAnsi="Calibri" w:cs="Calibri"/>
        </w:rPr>
        <w:t xml:space="preserve">El proyecto fue declarado en construcción mediante la Resolución Exenta </w:t>
      </w:r>
      <w:proofErr w:type="spellStart"/>
      <w:r w:rsidRPr="005F4121">
        <w:rPr>
          <w:rFonts w:ascii="Calibri" w:eastAsia="Calibri" w:hAnsi="Calibri" w:cs="Calibri"/>
        </w:rPr>
        <w:t>N°</w:t>
      </w:r>
      <w:proofErr w:type="spellEnd"/>
      <w:r w:rsidRPr="005F4121">
        <w:rPr>
          <w:rFonts w:ascii="Calibri" w:eastAsia="Calibri" w:hAnsi="Calibri" w:cs="Calibri"/>
        </w:rPr>
        <w:t xml:space="preserve"> 616, emitida por la Comisión Nacional de Energía (CNE) el 15 de diciembre de 2023, y actualmente se encuentra en la fase </w:t>
      </w:r>
      <w:r w:rsidR="000D0F87">
        <w:rPr>
          <w:rFonts w:ascii="Calibri" w:eastAsia="Calibri" w:hAnsi="Calibri" w:cs="Calibri"/>
        </w:rPr>
        <w:t>de</w:t>
      </w:r>
      <w:r w:rsidRPr="005F4121">
        <w:rPr>
          <w:rFonts w:ascii="Calibri" w:eastAsia="Calibri" w:hAnsi="Calibri" w:cs="Calibri"/>
        </w:rPr>
        <w:t xml:space="preserve"> inicio del proceso de conexión con el Coordinador Eléctrico Nacional.</w:t>
      </w:r>
    </w:p>
    <w:p w14:paraId="3C278BBB" w14:textId="161ADC1B" w:rsidR="005F4121" w:rsidRDefault="005F4121" w:rsidP="005F4121">
      <w:pPr>
        <w:spacing w:before="240"/>
        <w:jc w:val="both"/>
        <w:rPr>
          <w:rFonts w:ascii="Calibri" w:eastAsia="Calibri" w:hAnsi="Calibri" w:cs="Calibri"/>
        </w:rPr>
      </w:pPr>
      <w:r w:rsidRPr="005F4121">
        <w:rPr>
          <w:rFonts w:ascii="Calibri" w:eastAsia="Calibri" w:hAnsi="Calibri" w:cs="Calibri"/>
        </w:rPr>
        <w:t xml:space="preserve">No obstante, el 16 de enero de 2025, mediante la carga DE 00264-25, el Coordinador Eléctrico Nacional ha solicitado un informe justificativo respecto a los retrasos en la ejecución e interconexión del proyecto. En respuesta a esta solicitud, </w:t>
      </w:r>
      <w:proofErr w:type="spellStart"/>
      <w:r w:rsidRPr="005F4121">
        <w:rPr>
          <w:rFonts w:ascii="Calibri" w:eastAsia="Calibri" w:hAnsi="Calibri" w:cs="Calibri"/>
        </w:rPr>
        <w:t>Multical</w:t>
      </w:r>
      <w:proofErr w:type="spellEnd"/>
      <w:r w:rsidRPr="005F4121">
        <w:rPr>
          <w:rFonts w:ascii="Calibri" w:eastAsia="Calibri" w:hAnsi="Calibri" w:cs="Calibri"/>
        </w:rPr>
        <w:t xml:space="preserve"> I&amp;S, en su calidad de Consultor Independiente, ha sido designado para justificar los atrasos del proyecto.</w:t>
      </w:r>
    </w:p>
    <w:p w14:paraId="4D18E1A3" w14:textId="7B3ACF16" w:rsidR="00881AD0" w:rsidRPr="00BD0300" w:rsidRDefault="00E03F39" w:rsidP="002030D6">
      <w:pPr>
        <w:pStyle w:val="Ttulo1"/>
        <w:numPr>
          <w:ilvl w:val="0"/>
          <w:numId w:val="1"/>
        </w:numPr>
        <w:pBdr>
          <w:bottom w:val="single" w:sz="4" w:space="1" w:color="auto"/>
        </w:pBdr>
        <w:ind w:left="426" w:right="27" w:hanging="426"/>
        <w:jc w:val="both"/>
        <w:rPr>
          <w:spacing w:val="-2"/>
          <w:lang w:val="es-CL"/>
        </w:rPr>
      </w:pPr>
      <w:bookmarkStart w:id="2" w:name="_Toc190271430"/>
      <w:r>
        <w:rPr>
          <w:spacing w:val="-2"/>
          <w:lang w:val="es-CL"/>
        </w:rPr>
        <w:t>MARCO NORMATIVO</w:t>
      </w:r>
      <w:bookmarkEnd w:id="2"/>
    </w:p>
    <w:p w14:paraId="6320D56E" w14:textId="4AB462BF" w:rsidR="00AD174C" w:rsidRDefault="00AD174C" w:rsidP="00AD174C">
      <w:pPr>
        <w:spacing w:before="240"/>
        <w:jc w:val="both"/>
        <w:rPr>
          <w:rFonts w:ascii="Calibri" w:eastAsia="Calibri" w:hAnsi="Calibri" w:cs="Calibri"/>
        </w:rPr>
      </w:pPr>
      <w:r w:rsidRPr="00AD174C">
        <w:rPr>
          <w:rFonts w:ascii="Calibri" w:eastAsia="Calibri" w:hAnsi="Calibri" w:cs="Calibri"/>
        </w:rPr>
        <w:t>El marco normativo se establece a través de la Ley 20.936, que introduce modificaciones en el DFL 4, Ley General de Servicios Eléctricos (LGSE), con la finalidad de crear un nuevo sistema de transmisión eléctrica y establecer un organismo coordinador independiente del sistema eléctrico nacional. En particular, es relevante el inciso sexto del artículo 72-17, que regula el proceso de construcción, interconexión, puesta en servicio y operación de las instalaciones eléctricas. Este inciso establece que cualquier atraso o prórroga debe ser informado al Coordinador, quien deberá recibir una justificación debidamente respaldada por un informe de un consultor independiente. A continuación, se detalla lo dispuesto por la normativa:</w:t>
      </w:r>
    </w:p>
    <w:p w14:paraId="6A494DC3" w14:textId="275D334F" w:rsidR="00AD174C" w:rsidRPr="00AD174C" w:rsidRDefault="0011508C" w:rsidP="00AD174C">
      <w:pPr>
        <w:spacing w:before="240"/>
        <w:jc w:val="both"/>
        <w:rPr>
          <w:rFonts w:ascii="Calibri" w:eastAsia="Calibri" w:hAnsi="Calibri" w:cs="Calibri"/>
          <w:i/>
          <w:iCs/>
        </w:rPr>
      </w:pPr>
      <w:r>
        <w:rPr>
          <w:rFonts w:ascii="Calibri" w:eastAsia="Calibri" w:hAnsi="Calibri" w:cs="Calibri"/>
          <w:i/>
          <w:iCs/>
        </w:rPr>
        <w:t>“</w:t>
      </w:r>
      <w:r w:rsidR="00AD174C" w:rsidRPr="00AD174C">
        <w:rPr>
          <w:rFonts w:ascii="Calibri" w:eastAsia="Calibri" w:hAnsi="Calibri" w:cs="Calibri"/>
          <w:i/>
          <w:iCs/>
        </w:rPr>
        <w:t>De la construcción, interconexión, puesta en servicio y operación de las Instalaciones Eléctricas. Los propietarios u operadores de nuevas instalaciones de generación y transmisión que se interconecten al sistema eléctrico deberán previamente presentar una solicitud a la Comisión para que éstas sean declaradas en construcción. La Comisión podrá otorgar esta declaración sólo a aquellas instalaciones que cuenten con, al menos, los permisos sectoriales, órdenes de compra, cronograma de obras y demás requisitos que establezca el reglamento, que permitan acreditar fehacientemente la factibilidad de la construcción de dichas instalaciones.</w:t>
      </w:r>
    </w:p>
    <w:p w14:paraId="3F114666" w14:textId="77777777"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 xml:space="preserve">Sin perjuicio de lo señalado precedentemente, se considerarán también como instalaciones en construcción aquellos proyectos de transmisión nacional, zonal y para polos de desarrollo que formen parte de los planes de expansión </w:t>
      </w:r>
      <w:r w:rsidRPr="00AD174C">
        <w:rPr>
          <w:rFonts w:ascii="Calibri" w:eastAsia="Calibri" w:hAnsi="Calibri" w:cs="Calibri"/>
          <w:i/>
          <w:iCs/>
        </w:rPr>
        <w:lastRenderedPageBreak/>
        <w:t>respectivos, conforme a las características técnicas y plazos con los cuales los proyectos señalados figuran en dichos planes.</w:t>
      </w:r>
    </w:p>
    <w:p w14:paraId="1DCBD43B" w14:textId="77777777"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La entrega de información falsa, incompleta o manifiestamente errónea, por parte del solicitante, será sancionada por la Superintendencia de acuerdo a las normas establecidas en la ley N°18.410.</w:t>
      </w:r>
    </w:p>
    <w:p w14:paraId="351723C3" w14:textId="77777777"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Declarado en construcción un proyecto, su titular deberá mantener informada a la Comisión del avance del mismo y del cumplimiento del cronograma de obras presentado, en la forma y plazos que ésta determine, la que en cualquier momento podrá solicitar información adicional para verificar su estado de avance.</w:t>
      </w:r>
    </w:p>
    <w:p w14:paraId="152ED726" w14:textId="77777777"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La Comisión podrá revocar la declaración en construcción de un proyecto, cuando éste no dé cumplimiento a los hitos o avances establecidos en su cronograma de obras sin causa justificada, o se realicen cambios significativos al proyecto que impliquen exigir una nueva declaración en construcción, según se establezca en el reglamento.</w:t>
      </w:r>
    </w:p>
    <w:p w14:paraId="4EA47508" w14:textId="77777777"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 xml:space="preserve">La interconexión de toda instalación deberá ser comunicada a la Comisión, al Coordinador y a la Superintendencia, en la forma y plazos que determine el reglamento, el cual no podrá ser inferior a tres meses. Los titulares de estas instalaciones deberán cumplir cabalmente los plazos informados. </w:t>
      </w:r>
      <w:r w:rsidRPr="00AD174C">
        <w:rPr>
          <w:rFonts w:ascii="Calibri" w:eastAsia="Calibri" w:hAnsi="Calibri" w:cs="Calibri"/>
          <w:b/>
          <w:bCs/>
          <w:i/>
          <w:iCs/>
        </w:rPr>
        <w:t>Todo atraso o prórroga en los mismos deberá informarse al Coordinador y deberá estar debidamente justificado por un informe de un consultor independiente contratado al efecto, el que podrá ser auditado por el Coordinador.</w:t>
      </w:r>
      <w:r w:rsidRPr="00AD174C">
        <w:rPr>
          <w:rFonts w:ascii="Calibri" w:eastAsia="Calibri" w:hAnsi="Calibri" w:cs="Calibri"/>
          <w:i/>
          <w:iCs/>
        </w:rPr>
        <w:t xml:space="preserve"> No obstante, y en casos calificados y previo informe del Coordinador, la Comisión podrá eximir del cumplimiento de los plazos informados. El referido informe del Coordinador deberá resguardar que no se afecten los objetivos establecidos en el artículo 72°-1.</w:t>
      </w:r>
    </w:p>
    <w:p w14:paraId="782DF9D5" w14:textId="18C8C0E0"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Sólo podrán iniciar su puesta en servicio, aquellas instalaciones que hayan sido declaradas en construcción por la Comisión y que cuenten con la respectiva autorización por parte del Coordinador para energizar dichas instalaciones. La energización de toda instalación deberá ser comunicada a la Superintendencia, por lo menos con quince días de anticipación. Se entenderá que una instalación se encuentra en etapa de puesta en servicio, una vez materializada su interconexión y energización y hasta el término de las respectivas pruebas, adquiriendo desde el inicio de esta etapa la calidad de coordinado en conformidad a lo dispuesto en el artículo 72°-2. En todo caso, de manera previa a la puesta en servicio de un proyecto, el interesado deberá acordar con el Coordinador un cronograma de puesta en servicio en el que se establecerán las actividades a realizar y los plazos asociados a dichas actividades. Cualquier modificación de dichos plazos deberá ser comunicada al Coordinador quien podrá aprobar o rechazar justificadamente dicha modificación. Todo incumplimiento en los plazos establecidos para el período de puesta en servicio deberá ser comunicado por el Coordinador a la Superintendencia pudiendo aplicarse las sanciones que correspondan.</w:t>
      </w:r>
    </w:p>
    <w:p w14:paraId="39CDFFAB" w14:textId="77777777"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Concluida la etapa de puesta en servicio, el coordinado titular de la respectiva instalación deberá presentar al Coordinador una declaración jurada de fiel cumplimiento de la normativa vigente, pudiendo este último verificar tal circunstancia. Posteriormente, el Coordinador emitirá su aprobación para la entrada en operación del respectivo proyecto, en los plazos que establezca la Norma Técnica respectiva.</w:t>
      </w:r>
    </w:p>
    <w:p w14:paraId="6735FA22" w14:textId="0A76321B"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Sólo las instalaciones de generación que se encuentren en operación tendrán derecho a participar en las transferencias de potencia a que hace referencia el artículo 149°. Las inyecciones de energía en la etapa de puesta en servicio se remunerarán por las normas generales de transferencia. Sin perjuicio de lo anterior, en esta etapa, dichas inyecciones no deberán ser consideradas para la determinación del costo marginal del Sistema, ni para la repartición de ingresos por potencia.</w:t>
      </w:r>
      <w:r w:rsidR="0011508C">
        <w:rPr>
          <w:rFonts w:ascii="Calibri" w:eastAsia="Calibri" w:hAnsi="Calibri" w:cs="Calibri"/>
          <w:i/>
          <w:iCs/>
        </w:rPr>
        <w:t>”</w:t>
      </w:r>
    </w:p>
    <w:p w14:paraId="2B892C9F" w14:textId="220719BF" w:rsidR="0011508C" w:rsidRDefault="0011508C" w:rsidP="0011508C">
      <w:pPr>
        <w:spacing w:before="240"/>
        <w:jc w:val="both"/>
        <w:rPr>
          <w:rFonts w:ascii="Calibri" w:eastAsia="Calibri" w:hAnsi="Calibri" w:cs="Calibri"/>
        </w:rPr>
      </w:pPr>
      <w:r w:rsidRPr="0011508C">
        <w:rPr>
          <w:rFonts w:ascii="Calibri" w:eastAsia="Calibri" w:hAnsi="Calibri" w:cs="Calibri"/>
        </w:rPr>
        <w:lastRenderedPageBreak/>
        <w:t>En concordancia con lo anterior, el Decreto 125 aprueba el Reglamento de la Coordinación y Operación del Sistema Eléctrico Nacional. Este reglamento establece, entre otros aspectos, la obligación de las empresas de notificar el aviso de interconexión de proyectos. Además, en el Capítulo 1 del Título II, que regula la Declaración en Construcción, Puesta en Servicio y Entrada en Operación de las Instalaciones al Sistema Eléctrico Nacional, se hace mención al presente informe, destacando especialmente los artículos 25 y 26, que señalan lo siguiente:</w:t>
      </w:r>
    </w:p>
    <w:p w14:paraId="16D94118" w14:textId="333086F8" w:rsidR="00AD174C" w:rsidRPr="00AD174C" w:rsidRDefault="0011508C" w:rsidP="00AD174C">
      <w:pPr>
        <w:spacing w:before="240"/>
        <w:jc w:val="both"/>
        <w:rPr>
          <w:rFonts w:ascii="Calibri" w:eastAsia="Calibri" w:hAnsi="Calibri" w:cs="Calibri"/>
          <w:i/>
          <w:iCs/>
        </w:rPr>
      </w:pPr>
      <w:r>
        <w:rPr>
          <w:rFonts w:ascii="Calibri" w:eastAsia="Calibri" w:hAnsi="Calibri" w:cs="Calibri"/>
          <w:b/>
          <w:bCs/>
          <w:i/>
          <w:iCs/>
          <w:u w:val="single"/>
        </w:rPr>
        <w:t>“</w:t>
      </w:r>
      <w:r w:rsidR="00AD174C" w:rsidRPr="00AD174C">
        <w:rPr>
          <w:rFonts w:ascii="Calibri" w:eastAsia="Calibri" w:hAnsi="Calibri" w:cs="Calibri"/>
          <w:b/>
          <w:bCs/>
          <w:i/>
          <w:iCs/>
          <w:u w:val="single"/>
        </w:rPr>
        <w:t>Artículo 25</w:t>
      </w:r>
      <w:r w:rsidR="00AD174C" w:rsidRPr="00AD174C">
        <w:rPr>
          <w:rFonts w:ascii="Calibri" w:eastAsia="Calibri" w:hAnsi="Calibri" w:cs="Calibri"/>
          <w:i/>
          <w:iCs/>
        </w:rPr>
        <w:t>.- Conjuntamente con la solicitud de declaración en construcción, el titular del proyecto deberá señalar la fecha estimada de interconexión al sistema eléctrico a la Comisión, al Coordinador y a la Superintendencia.</w:t>
      </w:r>
    </w:p>
    <w:p w14:paraId="32DE320C" w14:textId="77777777"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El aviso de interconexión deberá ser efectuado, al menos, tres meses antes de la fecha de interconexión.</w:t>
      </w:r>
    </w:p>
    <w:p w14:paraId="65F1201E" w14:textId="77777777" w:rsidR="00AD174C" w:rsidRPr="00AD174C" w:rsidRDefault="00AD174C" w:rsidP="00AD174C">
      <w:pPr>
        <w:spacing w:before="240"/>
        <w:jc w:val="both"/>
        <w:rPr>
          <w:rFonts w:ascii="Calibri" w:eastAsia="Calibri" w:hAnsi="Calibri" w:cs="Calibri"/>
          <w:b/>
          <w:bCs/>
          <w:i/>
          <w:iCs/>
        </w:rPr>
      </w:pPr>
      <w:r w:rsidRPr="00AD174C">
        <w:rPr>
          <w:rFonts w:ascii="Calibri" w:eastAsia="Calibri" w:hAnsi="Calibri" w:cs="Calibri"/>
          <w:b/>
          <w:bCs/>
          <w:i/>
          <w:iCs/>
          <w:u w:val="single"/>
        </w:rPr>
        <w:t>Artículo 26</w:t>
      </w:r>
      <w:r w:rsidRPr="00AD174C">
        <w:rPr>
          <w:rFonts w:ascii="Calibri" w:eastAsia="Calibri" w:hAnsi="Calibri" w:cs="Calibri"/>
          <w:i/>
          <w:iCs/>
        </w:rPr>
        <w:t xml:space="preserve">.- Los titulares de estas instalaciones deberán cumplir cabalmente los plazos y fechas de interconexión informados. </w:t>
      </w:r>
      <w:r w:rsidRPr="00AD174C">
        <w:rPr>
          <w:rFonts w:ascii="Calibri" w:eastAsia="Calibri" w:hAnsi="Calibri" w:cs="Calibri"/>
          <w:b/>
          <w:bCs/>
          <w:i/>
          <w:iCs/>
        </w:rPr>
        <w:t>Todo atraso o prórroga en los mismos deberá informarse al Coordinador y deberá estar debidamente justificado por un informe de un consultor independiente contratado al efecto, el que podrá ser auditado por el Coordinador.</w:t>
      </w:r>
    </w:p>
    <w:p w14:paraId="79DC5E22" w14:textId="5995BB9B" w:rsidR="00AD174C" w:rsidRPr="00AD174C" w:rsidRDefault="00AD174C" w:rsidP="00AD174C">
      <w:pPr>
        <w:spacing w:before="240"/>
        <w:jc w:val="both"/>
        <w:rPr>
          <w:rFonts w:ascii="Calibri" w:eastAsia="Calibri" w:hAnsi="Calibri" w:cs="Calibri"/>
          <w:i/>
          <w:iCs/>
        </w:rPr>
      </w:pPr>
      <w:r w:rsidRPr="00AD174C">
        <w:rPr>
          <w:rFonts w:ascii="Calibri" w:eastAsia="Calibri" w:hAnsi="Calibri" w:cs="Calibri"/>
          <w:i/>
          <w:iCs/>
        </w:rPr>
        <w:t>No obstante, en casos calificados y previo informe del Coordinador, la Comisión podrá eximir del cumplimiento de los plazos señalados en el inciso anterior. El referido informe del Coordinador deberá resguardar que se cumplan los principios establecidos en el artículo 72º-1 de la Ley y las exigencias establecidas en la norma técnica relativas al proceso de interconexión.</w:t>
      </w:r>
      <w:r w:rsidR="0011508C">
        <w:rPr>
          <w:rFonts w:ascii="Calibri" w:eastAsia="Calibri" w:hAnsi="Calibri" w:cs="Calibri"/>
          <w:i/>
          <w:iCs/>
        </w:rPr>
        <w:t>”</w:t>
      </w:r>
    </w:p>
    <w:p w14:paraId="00D54643" w14:textId="02E7A082" w:rsidR="00E03F39" w:rsidRPr="00BD0300" w:rsidRDefault="00E03F39" w:rsidP="00E03F39">
      <w:pPr>
        <w:pStyle w:val="Ttulo1"/>
        <w:numPr>
          <w:ilvl w:val="0"/>
          <w:numId w:val="1"/>
        </w:numPr>
        <w:pBdr>
          <w:bottom w:val="single" w:sz="4" w:space="1" w:color="auto"/>
        </w:pBdr>
        <w:ind w:left="426" w:right="27" w:hanging="426"/>
        <w:jc w:val="both"/>
        <w:rPr>
          <w:spacing w:val="-2"/>
          <w:lang w:val="es-CL"/>
        </w:rPr>
      </w:pPr>
      <w:bookmarkStart w:id="3" w:name="_Toc190271431"/>
      <w:r>
        <w:rPr>
          <w:spacing w:val="-2"/>
          <w:lang w:val="es-CL"/>
        </w:rPr>
        <w:t>ANTECEDENTES DEL PROYECTO</w:t>
      </w:r>
      <w:bookmarkEnd w:id="3"/>
    </w:p>
    <w:p w14:paraId="35295D9B" w14:textId="0E452A0D" w:rsidR="00063A1F" w:rsidRDefault="00063A1F" w:rsidP="00E03F39">
      <w:pPr>
        <w:spacing w:before="240"/>
        <w:jc w:val="both"/>
        <w:rPr>
          <w:rFonts w:ascii="Calibri" w:eastAsia="Calibri" w:hAnsi="Calibri" w:cs="Calibri"/>
        </w:rPr>
      </w:pPr>
      <w:r w:rsidRPr="00063A1F">
        <w:rPr>
          <w:rFonts w:ascii="Calibri" w:eastAsia="Calibri" w:hAnsi="Calibri" w:cs="Calibri"/>
        </w:rPr>
        <w:t xml:space="preserve">El proyecto “Aumento de Potencia Consumo TEA S/E Lagunas (10 MW)” se centra específicamente en el reemplazo de la celda de media tensión existente </w:t>
      </w:r>
      <w:r w:rsidR="00C318A6">
        <w:rPr>
          <w:rFonts w:ascii="Calibri" w:eastAsia="Calibri" w:hAnsi="Calibri" w:cs="Calibri"/>
        </w:rPr>
        <w:t xml:space="preserve">del paño E1 de S/E Lagunas 23 kV </w:t>
      </w:r>
      <w:r w:rsidRPr="00063A1F">
        <w:rPr>
          <w:rFonts w:ascii="Calibri" w:eastAsia="Calibri" w:hAnsi="Calibri" w:cs="Calibri"/>
        </w:rPr>
        <w:t>por una de mayor capacidad, incluyendo todo el equipamiento necesario para asegurar su adecuada operación.</w:t>
      </w:r>
    </w:p>
    <w:p w14:paraId="37916DD8" w14:textId="023E5F4A" w:rsidR="00390C70" w:rsidRDefault="00063A1F" w:rsidP="00E03F39">
      <w:pPr>
        <w:spacing w:before="240"/>
        <w:jc w:val="both"/>
        <w:rPr>
          <w:rFonts w:ascii="Calibri" w:eastAsia="Calibri" w:hAnsi="Calibri" w:cs="Calibri"/>
        </w:rPr>
      </w:pPr>
      <w:r>
        <w:rPr>
          <w:rFonts w:ascii="Calibri" w:eastAsia="Calibri" w:hAnsi="Calibri" w:cs="Calibri"/>
        </w:rPr>
        <w:t xml:space="preserve">Este proyecto </w:t>
      </w:r>
      <w:r w:rsidR="000D0F87">
        <w:rPr>
          <w:rFonts w:ascii="Calibri" w:eastAsia="Calibri" w:hAnsi="Calibri" w:cs="Calibri"/>
        </w:rPr>
        <w:t xml:space="preserve">fue ingreso </w:t>
      </w:r>
      <w:r>
        <w:rPr>
          <w:rFonts w:ascii="Calibri" w:eastAsia="Calibri" w:hAnsi="Calibri" w:cs="Calibri"/>
        </w:rPr>
        <w:t>a través de la plataforma de</w:t>
      </w:r>
      <w:r w:rsidR="000D0F87">
        <w:rPr>
          <w:rFonts w:ascii="Calibri" w:eastAsia="Calibri" w:hAnsi="Calibri" w:cs="Calibri"/>
        </w:rPr>
        <w:t xml:space="preserve"> Acceso Abierto del Coordinador Eléctrico, </w:t>
      </w:r>
      <w:r w:rsidR="004C725A">
        <w:rPr>
          <w:rFonts w:ascii="Calibri" w:eastAsia="Calibri" w:hAnsi="Calibri" w:cs="Calibri"/>
        </w:rPr>
        <w:t>mediante una Solicitud de Uso de Capacidad Técnica Disponible (SUCTD)</w:t>
      </w:r>
      <w:r w:rsidR="004C725A">
        <w:rPr>
          <w:rFonts w:ascii="Calibri" w:eastAsia="Calibri" w:hAnsi="Calibri" w:cs="Calibri"/>
        </w:rPr>
        <w:t xml:space="preserve">, considerando </w:t>
      </w:r>
      <w:r w:rsidR="000D0F87">
        <w:rPr>
          <w:rFonts w:ascii="Calibri" w:eastAsia="Calibri" w:hAnsi="Calibri" w:cs="Calibri"/>
        </w:rPr>
        <w:t xml:space="preserve">formulario y antecedentes </w:t>
      </w:r>
      <w:r>
        <w:rPr>
          <w:rFonts w:ascii="Calibri" w:eastAsia="Calibri" w:hAnsi="Calibri" w:cs="Calibri"/>
        </w:rPr>
        <w:t xml:space="preserve">de ingeniería </w:t>
      </w:r>
      <w:r w:rsidR="004C725A">
        <w:rPr>
          <w:rFonts w:ascii="Calibri" w:eastAsia="Calibri" w:hAnsi="Calibri" w:cs="Calibri"/>
        </w:rPr>
        <w:t xml:space="preserve">del proyecto </w:t>
      </w:r>
      <w:r w:rsidR="000D0F87">
        <w:rPr>
          <w:rFonts w:ascii="Calibri" w:eastAsia="Calibri" w:hAnsi="Calibri" w:cs="Calibri"/>
        </w:rPr>
        <w:t>el 28</w:t>
      </w:r>
      <w:r w:rsidR="004C725A">
        <w:rPr>
          <w:rFonts w:ascii="Calibri" w:eastAsia="Calibri" w:hAnsi="Calibri" w:cs="Calibri"/>
        </w:rPr>
        <w:t xml:space="preserve"> de agosto de </w:t>
      </w:r>
      <w:r w:rsidR="000D0F87">
        <w:rPr>
          <w:rFonts w:ascii="Calibri" w:eastAsia="Calibri" w:hAnsi="Calibri" w:cs="Calibri"/>
        </w:rPr>
        <w:t>2022</w:t>
      </w:r>
      <w:r w:rsidR="004C725A">
        <w:rPr>
          <w:rFonts w:ascii="Calibri" w:eastAsia="Calibri" w:hAnsi="Calibri" w:cs="Calibri"/>
        </w:rPr>
        <w:t xml:space="preserve">, y obteniendo </w:t>
      </w:r>
      <w:r w:rsidR="00A05F62">
        <w:rPr>
          <w:rFonts w:ascii="Calibri" w:eastAsia="Calibri" w:hAnsi="Calibri" w:cs="Calibri"/>
        </w:rPr>
        <w:t>con fecha de</w:t>
      </w:r>
      <w:r w:rsidR="00A05F62" w:rsidRPr="000D0F87">
        <w:rPr>
          <w:rFonts w:ascii="Calibri" w:eastAsia="Calibri" w:hAnsi="Calibri" w:cs="Calibri"/>
        </w:rPr>
        <w:t xml:space="preserve"> </w:t>
      </w:r>
      <w:r w:rsidR="00A05F62">
        <w:rPr>
          <w:rFonts w:ascii="Calibri" w:eastAsia="Calibri" w:hAnsi="Calibri" w:cs="Calibri"/>
        </w:rPr>
        <w:t>09</w:t>
      </w:r>
      <w:r w:rsidR="00A05F62" w:rsidRPr="000D0F87">
        <w:rPr>
          <w:rFonts w:ascii="Calibri" w:eastAsia="Calibri" w:hAnsi="Calibri" w:cs="Calibri"/>
        </w:rPr>
        <w:t xml:space="preserve"> de </w:t>
      </w:r>
      <w:r w:rsidR="00A05F62">
        <w:rPr>
          <w:rFonts w:ascii="Calibri" w:eastAsia="Calibri" w:hAnsi="Calibri" w:cs="Calibri"/>
        </w:rPr>
        <w:t>mayo</w:t>
      </w:r>
      <w:r w:rsidR="00A05F62" w:rsidRPr="000D0F87">
        <w:rPr>
          <w:rFonts w:ascii="Calibri" w:eastAsia="Calibri" w:hAnsi="Calibri" w:cs="Calibri"/>
        </w:rPr>
        <w:t xml:space="preserve"> de 202</w:t>
      </w:r>
      <w:r w:rsidR="00A05F62">
        <w:rPr>
          <w:rFonts w:ascii="Calibri" w:eastAsia="Calibri" w:hAnsi="Calibri" w:cs="Calibri"/>
        </w:rPr>
        <w:t>3</w:t>
      </w:r>
      <w:r w:rsidR="00A05F62">
        <w:rPr>
          <w:rFonts w:ascii="Calibri" w:eastAsia="Calibri" w:hAnsi="Calibri" w:cs="Calibri"/>
        </w:rPr>
        <w:t xml:space="preserve">, tanto la carta de aprobación de la SUCTD, DE 01991-23, como </w:t>
      </w:r>
      <w:r w:rsidR="004C725A">
        <w:rPr>
          <w:rFonts w:ascii="Calibri" w:eastAsia="Calibri" w:hAnsi="Calibri" w:cs="Calibri"/>
        </w:rPr>
        <w:t xml:space="preserve">el </w:t>
      </w:r>
      <w:r w:rsidR="004C725A" w:rsidRPr="000D0F87">
        <w:rPr>
          <w:rFonts w:ascii="Calibri" w:eastAsia="Calibri" w:hAnsi="Calibri" w:cs="Calibri"/>
        </w:rPr>
        <w:t xml:space="preserve">Informe de </w:t>
      </w:r>
      <w:r w:rsidR="004C4BD0">
        <w:rPr>
          <w:rFonts w:ascii="Calibri" w:eastAsia="Calibri" w:hAnsi="Calibri" w:cs="Calibri"/>
        </w:rPr>
        <w:t>Uso Capacidad Técnica Disponible Definitivo, para el paño E1 de la barra de 23 kV de S/E Lagunas</w:t>
      </w:r>
      <w:r w:rsidR="00A05F62">
        <w:rPr>
          <w:rFonts w:ascii="Calibri" w:eastAsia="Calibri" w:hAnsi="Calibri" w:cs="Calibri"/>
        </w:rPr>
        <w:t xml:space="preserve">, esta última propiedad de </w:t>
      </w:r>
      <w:proofErr w:type="spellStart"/>
      <w:r w:rsidR="00A05F62">
        <w:rPr>
          <w:rFonts w:ascii="Calibri" w:eastAsia="Calibri" w:hAnsi="Calibri" w:cs="Calibri"/>
        </w:rPr>
        <w:t>Transelec</w:t>
      </w:r>
      <w:proofErr w:type="spellEnd"/>
      <w:r w:rsidR="00A05F62">
        <w:rPr>
          <w:rFonts w:ascii="Calibri" w:eastAsia="Calibri" w:hAnsi="Calibri" w:cs="Calibri"/>
        </w:rPr>
        <w:t xml:space="preserve"> S.A. </w:t>
      </w:r>
    </w:p>
    <w:p w14:paraId="60D77DC5" w14:textId="77777777" w:rsidR="00E27FE7" w:rsidRDefault="00E27FE7" w:rsidP="00625922">
      <w:pPr>
        <w:spacing w:before="240"/>
        <w:jc w:val="both"/>
        <w:rPr>
          <w:rFonts w:ascii="Calibri" w:eastAsia="Calibri" w:hAnsi="Calibri" w:cs="Calibri"/>
          <w:i/>
          <w:iCs/>
        </w:rPr>
      </w:pPr>
      <w:r w:rsidRPr="00E27FE7">
        <w:rPr>
          <w:rFonts w:ascii="Calibri" w:eastAsia="Calibri" w:hAnsi="Calibri" w:cs="Calibri"/>
        </w:rPr>
        <w:t>Como punto relevante, el informe incluyó indicaciones técnicas sobre las obras adicionales necesarias para el proceso de conexión, detallando lo siguiente:</w:t>
      </w:r>
      <w:r w:rsidRPr="00E27FE7">
        <w:rPr>
          <w:rFonts w:ascii="Calibri" w:eastAsia="Calibri" w:hAnsi="Calibri" w:cs="Calibri"/>
          <w:i/>
          <w:iCs/>
        </w:rPr>
        <w:t xml:space="preserve"> </w:t>
      </w:r>
    </w:p>
    <w:p w14:paraId="33330E57" w14:textId="068CC112" w:rsidR="00625922" w:rsidRPr="00625922" w:rsidRDefault="00625922" w:rsidP="00625922">
      <w:pPr>
        <w:spacing w:before="240"/>
        <w:jc w:val="both"/>
        <w:rPr>
          <w:rFonts w:ascii="Calibri" w:eastAsia="Calibri" w:hAnsi="Calibri" w:cs="Calibri"/>
          <w:i/>
          <w:iCs/>
        </w:rPr>
      </w:pPr>
      <w:r>
        <w:rPr>
          <w:rFonts w:ascii="Calibri" w:eastAsia="Calibri" w:hAnsi="Calibri" w:cs="Calibri"/>
          <w:i/>
          <w:iCs/>
        </w:rPr>
        <w:t>“</w:t>
      </w:r>
      <w:r w:rsidRPr="00625922">
        <w:rPr>
          <w:rFonts w:ascii="Calibri" w:eastAsia="Calibri" w:hAnsi="Calibri" w:cs="Calibri"/>
          <w:i/>
          <w:iCs/>
        </w:rPr>
        <w:t xml:space="preserve">Respecto a las consideraciones para el propietario ante el aumento de carga de 2 a 10 (MW) del paño E1, se contempla la ejecución de, al menos, la siguiente obra conforme lo informado por la empresa solicitante: </w:t>
      </w:r>
    </w:p>
    <w:p w14:paraId="6611CE2D" w14:textId="4BC08174" w:rsidR="00625922" w:rsidRPr="00625922" w:rsidRDefault="00625922" w:rsidP="00625922">
      <w:pPr>
        <w:pStyle w:val="Prrafodelista"/>
        <w:numPr>
          <w:ilvl w:val="0"/>
          <w:numId w:val="67"/>
        </w:numPr>
        <w:spacing w:before="240"/>
        <w:jc w:val="both"/>
        <w:rPr>
          <w:rFonts w:ascii="Calibri" w:eastAsia="Calibri" w:hAnsi="Calibri" w:cs="Calibri"/>
          <w:i/>
          <w:iCs/>
        </w:rPr>
      </w:pPr>
      <w:r w:rsidRPr="00625922">
        <w:rPr>
          <w:rFonts w:ascii="Calibri" w:eastAsia="Calibri" w:hAnsi="Calibri" w:cs="Calibri"/>
          <w:i/>
          <w:iCs/>
        </w:rPr>
        <w:t>Reemplazo del desconectador 89ET 400 A por uno de 600 A.</w:t>
      </w:r>
    </w:p>
    <w:p w14:paraId="0E688A95" w14:textId="22350B3B" w:rsidR="00625922" w:rsidRPr="00625922" w:rsidRDefault="00625922" w:rsidP="00625922">
      <w:pPr>
        <w:pStyle w:val="Prrafodelista"/>
        <w:numPr>
          <w:ilvl w:val="0"/>
          <w:numId w:val="67"/>
        </w:numPr>
        <w:spacing w:before="240"/>
        <w:jc w:val="both"/>
        <w:rPr>
          <w:rFonts w:ascii="Calibri" w:eastAsia="Calibri" w:hAnsi="Calibri" w:cs="Calibri"/>
          <w:i/>
          <w:iCs/>
        </w:rPr>
      </w:pPr>
      <w:r w:rsidRPr="00625922">
        <w:rPr>
          <w:rFonts w:ascii="Calibri" w:eastAsia="Calibri" w:hAnsi="Calibri" w:cs="Calibri"/>
          <w:i/>
          <w:iCs/>
        </w:rPr>
        <w:t>Cambio de transformador de corriente del Paño E1 de 150 A por uno de al menos 300</w:t>
      </w:r>
      <w:r w:rsidR="00E27FE7">
        <w:rPr>
          <w:rFonts w:ascii="Calibri" w:eastAsia="Calibri" w:hAnsi="Calibri" w:cs="Calibri"/>
          <w:i/>
          <w:iCs/>
        </w:rPr>
        <w:t xml:space="preserve"> </w:t>
      </w:r>
      <w:r>
        <w:rPr>
          <w:rFonts w:ascii="Calibri" w:eastAsia="Calibri" w:hAnsi="Calibri" w:cs="Calibri"/>
          <w:i/>
          <w:iCs/>
        </w:rPr>
        <w:t>A</w:t>
      </w:r>
      <w:r w:rsidRPr="00625922">
        <w:rPr>
          <w:rFonts w:ascii="Calibri" w:eastAsia="Calibri" w:hAnsi="Calibri" w:cs="Calibri"/>
          <w:i/>
          <w:iCs/>
        </w:rPr>
        <w:t>.</w:t>
      </w:r>
    </w:p>
    <w:p w14:paraId="55451F9F" w14:textId="0BDD59B1" w:rsidR="00625922" w:rsidRPr="00625922" w:rsidRDefault="00625922" w:rsidP="00625922">
      <w:pPr>
        <w:pStyle w:val="Prrafodelista"/>
        <w:numPr>
          <w:ilvl w:val="0"/>
          <w:numId w:val="67"/>
        </w:numPr>
        <w:spacing w:before="240"/>
        <w:jc w:val="both"/>
        <w:rPr>
          <w:rFonts w:ascii="Calibri" w:eastAsia="Calibri" w:hAnsi="Calibri" w:cs="Calibri"/>
          <w:i/>
          <w:iCs/>
        </w:rPr>
      </w:pPr>
      <w:r w:rsidRPr="00625922">
        <w:rPr>
          <w:rFonts w:ascii="Calibri" w:eastAsia="Calibri" w:hAnsi="Calibri" w:cs="Calibri"/>
          <w:i/>
          <w:iCs/>
        </w:rPr>
        <w:t>Asegurar capacidad de los conductores, tanto de barra tendida como de conexión transformador de poder a parrón a 23 kV.</w:t>
      </w:r>
    </w:p>
    <w:p w14:paraId="6EE72860" w14:textId="6C8A0A28" w:rsidR="00625922" w:rsidRPr="00625922" w:rsidRDefault="00625922" w:rsidP="00625922">
      <w:pPr>
        <w:spacing w:before="240"/>
        <w:jc w:val="both"/>
        <w:rPr>
          <w:rFonts w:ascii="Calibri" w:eastAsia="Calibri" w:hAnsi="Calibri" w:cs="Calibri"/>
          <w:i/>
          <w:iCs/>
        </w:rPr>
      </w:pPr>
      <w:r w:rsidRPr="00625922">
        <w:rPr>
          <w:rFonts w:ascii="Calibri" w:eastAsia="Calibri" w:hAnsi="Calibri" w:cs="Calibri"/>
          <w:i/>
          <w:iCs/>
        </w:rPr>
        <w:lastRenderedPageBreak/>
        <w:t>Lo anterior incluye todas las modificaciones a las instalaciones existentes, ya sean fundaciones, estructuras, sistemas de medida, control y protecciones, urbanizaciones y todas las necesarias para la ejecución del proyecto.</w:t>
      </w:r>
      <w:r>
        <w:rPr>
          <w:rFonts w:ascii="Calibri" w:eastAsia="Calibri" w:hAnsi="Calibri" w:cs="Calibri"/>
          <w:i/>
          <w:iCs/>
        </w:rPr>
        <w:t>”</w:t>
      </w:r>
    </w:p>
    <w:p w14:paraId="69377FD9" w14:textId="77777777" w:rsidR="00E27FE7" w:rsidRDefault="00E27FE7" w:rsidP="00E03F39">
      <w:pPr>
        <w:spacing w:before="240"/>
        <w:jc w:val="both"/>
        <w:rPr>
          <w:rFonts w:ascii="Calibri" w:eastAsia="Calibri" w:hAnsi="Calibri" w:cs="Calibri"/>
        </w:rPr>
      </w:pPr>
      <w:r w:rsidRPr="00E27FE7">
        <w:rPr>
          <w:rFonts w:ascii="Calibri" w:eastAsia="Calibri" w:hAnsi="Calibri" w:cs="Calibri"/>
        </w:rPr>
        <w:t>A continuación, se presenta el esquema simplificado del proyecto.</w:t>
      </w:r>
    </w:p>
    <w:p w14:paraId="74279650" w14:textId="64A9B636" w:rsidR="00A05F62" w:rsidRDefault="00A05F62" w:rsidP="00A05F62">
      <w:pPr>
        <w:spacing w:before="240"/>
        <w:jc w:val="center"/>
        <w:rPr>
          <w:rFonts w:ascii="Calibri" w:eastAsia="Calibri" w:hAnsi="Calibri" w:cs="Calibri"/>
        </w:rPr>
      </w:pPr>
      <w:r w:rsidRPr="00A05F62">
        <w:rPr>
          <w:rFonts w:ascii="Calibri" w:eastAsia="Calibri" w:hAnsi="Calibri" w:cs="Calibri"/>
        </w:rPr>
        <w:drawing>
          <wp:inline distT="0" distB="0" distL="0" distR="0" wp14:anchorId="5DC0185F" wp14:editId="11934A57">
            <wp:extent cx="2440800" cy="3600000"/>
            <wp:effectExtent l="0" t="0" r="0" b="635"/>
            <wp:docPr id="205633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3524" name=""/>
                    <pic:cNvPicPr/>
                  </pic:nvPicPr>
                  <pic:blipFill>
                    <a:blip r:embed="rId13"/>
                    <a:stretch>
                      <a:fillRect/>
                    </a:stretch>
                  </pic:blipFill>
                  <pic:spPr>
                    <a:xfrm>
                      <a:off x="0" y="0"/>
                      <a:ext cx="2440800" cy="3600000"/>
                    </a:xfrm>
                    <a:prstGeom prst="rect">
                      <a:avLst/>
                    </a:prstGeom>
                  </pic:spPr>
                </pic:pic>
              </a:graphicData>
            </a:graphic>
          </wp:inline>
        </w:drawing>
      </w:r>
    </w:p>
    <w:p w14:paraId="3886C92D" w14:textId="5C26405E" w:rsidR="00A05F62" w:rsidRPr="00A0722A" w:rsidRDefault="00A05F62" w:rsidP="00A05F62">
      <w:pPr>
        <w:pStyle w:val="Descripcin"/>
        <w:jc w:val="center"/>
        <w:rPr>
          <w:rFonts w:ascii="Calibri" w:eastAsia="Calibri" w:hAnsi="Calibri" w:cs="Calibri"/>
          <w:b/>
          <w:bCs/>
          <w:i w:val="0"/>
          <w:iCs w:val="0"/>
          <w:color w:val="auto"/>
          <w:highlight w:val="yellow"/>
        </w:rPr>
      </w:pPr>
      <w:bookmarkStart w:id="4" w:name="_Toc190271589"/>
      <w:r w:rsidRPr="00A0722A">
        <w:rPr>
          <w:b/>
          <w:bCs/>
          <w:i w:val="0"/>
          <w:iCs w:val="0"/>
          <w:color w:val="auto"/>
        </w:rPr>
        <w:t xml:space="preserve">Figura </w:t>
      </w:r>
      <w:r w:rsidRPr="00A0722A">
        <w:rPr>
          <w:b/>
          <w:bCs/>
          <w:i w:val="0"/>
          <w:iCs w:val="0"/>
          <w:color w:val="auto"/>
        </w:rPr>
        <w:fldChar w:fldCharType="begin"/>
      </w:r>
      <w:r w:rsidRPr="00A0722A">
        <w:rPr>
          <w:b/>
          <w:bCs/>
          <w:i w:val="0"/>
          <w:iCs w:val="0"/>
          <w:color w:val="auto"/>
        </w:rPr>
        <w:instrText xml:space="preserve"> STYLEREF 1 \s </w:instrText>
      </w:r>
      <w:r w:rsidRPr="00A0722A">
        <w:rPr>
          <w:b/>
          <w:bCs/>
          <w:i w:val="0"/>
          <w:iCs w:val="0"/>
          <w:color w:val="auto"/>
        </w:rPr>
        <w:fldChar w:fldCharType="separate"/>
      </w:r>
      <w:r w:rsidR="00DF3FB1">
        <w:rPr>
          <w:b/>
          <w:bCs/>
          <w:i w:val="0"/>
          <w:iCs w:val="0"/>
          <w:noProof/>
          <w:color w:val="auto"/>
        </w:rPr>
        <w:t>3</w:t>
      </w:r>
      <w:r w:rsidRPr="00A0722A">
        <w:rPr>
          <w:b/>
          <w:bCs/>
          <w:i w:val="0"/>
          <w:iCs w:val="0"/>
          <w:color w:val="auto"/>
        </w:rPr>
        <w:fldChar w:fldCharType="end"/>
      </w:r>
      <w:r w:rsidRPr="00A0722A">
        <w:rPr>
          <w:b/>
          <w:bCs/>
          <w:i w:val="0"/>
          <w:iCs w:val="0"/>
          <w:color w:val="auto"/>
        </w:rPr>
        <w:noBreakHyphen/>
      </w:r>
      <w:r w:rsidRPr="00A0722A">
        <w:rPr>
          <w:b/>
          <w:bCs/>
          <w:i w:val="0"/>
          <w:iCs w:val="0"/>
          <w:color w:val="auto"/>
        </w:rPr>
        <w:fldChar w:fldCharType="begin"/>
      </w:r>
      <w:r w:rsidRPr="00A0722A">
        <w:rPr>
          <w:b/>
          <w:bCs/>
          <w:i w:val="0"/>
          <w:iCs w:val="0"/>
          <w:color w:val="auto"/>
        </w:rPr>
        <w:instrText xml:space="preserve"> SEQ Figura \* ARABIC \s 1 </w:instrText>
      </w:r>
      <w:r w:rsidRPr="00A0722A">
        <w:rPr>
          <w:b/>
          <w:bCs/>
          <w:i w:val="0"/>
          <w:iCs w:val="0"/>
          <w:color w:val="auto"/>
        </w:rPr>
        <w:fldChar w:fldCharType="separate"/>
      </w:r>
      <w:r w:rsidR="00DF3FB1">
        <w:rPr>
          <w:b/>
          <w:bCs/>
          <w:i w:val="0"/>
          <w:iCs w:val="0"/>
          <w:noProof/>
          <w:color w:val="auto"/>
        </w:rPr>
        <w:t>1</w:t>
      </w:r>
      <w:r w:rsidRPr="00A0722A">
        <w:rPr>
          <w:b/>
          <w:bCs/>
          <w:i w:val="0"/>
          <w:iCs w:val="0"/>
          <w:color w:val="auto"/>
        </w:rPr>
        <w:fldChar w:fldCharType="end"/>
      </w:r>
      <w:r>
        <w:rPr>
          <w:b/>
          <w:bCs/>
          <w:i w:val="0"/>
          <w:iCs w:val="0"/>
          <w:color w:val="auto"/>
        </w:rPr>
        <w:t xml:space="preserve"> Unilineal Simplificado S/E Lagunas 23 kV</w:t>
      </w:r>
      <w:r>
        <w:rPr>
          <w:b/>
          <w:bCs/>
          <w:i w:val="0"/>
          <w:iCs w:val="0"/>
          <w:color w:val="auto"/>
        </w:rPr>
        <w:t xml:space="preserve"> (Extracto Informe SUCTD Definitivo)</w:t>
      </w:r>
      <w:bookmarkEnd w:id="4"/>
    </w:p>
    <w:p w14:paraId="4932E128" w14:textId="17165906" w:rsidR="00E27FE7" w:rsidRDefault="00E27FE7" w:rsidP="00E03F39">
      <w:pPr>
        <w:spacing w:before="240"/>
        <w:jc w:val="both"/>
        <w:rPr>
          <w:rFonts w:ascii="Calibri" w:eastAsia="Calibri" w:hAnsi="Calibri" w:cs="Calibri"/>
        </w:rPr>
      </w:pPr>
      <w:r w:rsidRPr="00E27FE7">
        <w:rPr>
          <w:rFonts w:ascii="Calibri" w:eastAsia="Calibri" w:hAnsi="Calibri" w:cs="Calibri"/>
        </w:rPr>
        <w:t xml:space="preserve">Posteriormente, el proyecto obtiene la Declaración en Construcción con fecha 15 de diciembre de 2023, a través de la Resolución Exenta </w:t>
      </w:r>
      <w:proofErr w:type="spellStart"/>
      <w:r w:rsidRPr="00E27FE7">
        <w:rPr>
          <w:rFonts w:ascii="Calibri" w:eastAsia="Calibri" w:hAnsi="Calibri" w:cs="Calibri"/>
        </w:rPr>
        <w:t>N°</w:t>
      </w:r>
      <w:proofErr w:type="spellEnd"/>
      <w:r w:rsidRPr="00E27FE7">
        <w:rPr>
          <w:rFonts w:ascii="Calibri" w:eastAsia="Calibri" w:hAnsi="Calibri" w:cs="Calibri"/>
        </w:rPr>
        <w:t xml:space="preserve"> 616, estableciendo como fecha estimada de interconexión marzo de 2024. A continuación, se presenta el extracto correspondiente de la resolución emitida por la Comisión Nacional de Energía (CNE).</w:t>
      </w:r>
    </w:p>
    <w:p w14:paraId="6E1B5D49" w14:textId="2D46186E" w:rsidR="000A7FFD" w:rsidRDefault="00E44377" w:rsidP="00E44377">
      <w:pPr>
        <w:spacing w:before="240"/>
        <w:jc w:val="center"/>
        <w:rPr>
          <w:rFonts w:ascii="Calibri" w:eastAsia="Calibri" w:hAnsi="Calibri" w:cs="Calibri"/>
        </w:rPr>
      </w:pPr>
      <w:r w:rsidRPr="00E44377">
        <w:rPr>
          <w:rFonts w:ascii="Calibri" w:eastAsia="Calibri" w:hAnsi="Calibri" w:cs="Calibri"/>
        </w:rPr>
        <w:drawing>
          <wp:inline distT="0" distB="0" distL="0" distR="0" wp14:anchorId="7523FDD6" wp14:editId="3D5BF50C">
            <wp:extent cx="4550833" cy="2047875"/>
            <wp:effectExtent l="0" t="0" r="2540" b="0"/>
            <wp:docPr id="1144001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01446" name=""/>
                    <pic:cNvPicPr/>
                  </pic:nvPicPr>
                  <pic:blipFill>
                    <a:blip r:embed="rId14"/>
                    <a:stretch>
                      <a:fillRect/>
                    </a:stretch>
                  </pic:blipFill>
                  <pic:spPr>
                    <a:xfrm>
                      <a:off x="0" y="0"/>
                      <a:ext cx="4571476" cy="2057164"/>
                    </a:xfrm>
                    <a:prstGeom prst="rect">
                      <a:avLst/>
                    </a:prstGeom>
                  </pic:spPr>
                </pic:pic>
              </a:graphicData>
            </a:graphic>
          </wp:inline>
        </w:drawing>
      </w:r>
    </w:p>
    <w:p w14:paraId="67579313" w14:textId="52376AF4" w:rsidR="00E44377" w:rsidRPr="00A0722A" w:rsidRDefault="00E44377" w:rsidP="00E44377">
      <w:pPr>
        <w:pStyle w:val="Descripcin"/>
        <w:jc w:val="center"/>
        <w:rPr>
          <w:rFonts w:ascii="Calibri" w:eastAsia="Calibri" w:hAnsi="Calibri" w:cs="Calibri"/>
          <w:b/>
          <w:bCs/>
          <w:i w:val="0"/>
          <w:iCs w:val="0"/>
          <w:color w:val="auto"/>
          <w:highlight w:val="yellow"/>
        </w:rPr>
      </w:pPr>
      <w:bookmarkStart w:id="5" w:name="_Toc190271590"/>
      <w:r w:rsidRPr="00A0722A">
        <w:rPr>
          <w:b/>
          <w:bCs/>
          <w:i w:val="0"/>
          <w:iCs w:val="0"/>
          <w:color w:val="auto"/>
        </w:rPr>
        <w:t xml:space="preserve">Figura </w:t>
      </w:r>
      <w:r w:rsidRPr="00A0722A">
        <w:rPr>
          <w:b/>
          <w:bCs/>
          <w:i w:val="0"/>
          <w:iCs w:val="0"/>
          <w:color w:val="auto"/>
        </w:rPr>
        <w:fldChar w:fldCharType="begin"/>
      </w:r>
      <w:r w:rsidRPr="00A0722A">
        <w:rPr>
          <w:b/>
          <w:bCs/>
          <w:i w:val="0"/>
          <w:iCs w:val="0"/>
          <w:color w:val="auto"/>
        </w:rPr>
        <w:instrText xml:space="preserve"> STYLEREF 1 \s </w:instrText>
      </w:r>
      <w:r w:rsidRPr="00A0722A">
        <w:rPr>
          <w:b/>
          <w:bCs/>
          <w:i w:val="0"/>
          <w:iCs w:val="0"/>
          <w:color w:val="auto"/>
        </w:rPr>
        <w:fldChar w:fldCharType="separate"/>
      </w:r>
      <w:r w:rsidR="00DF3FB1">
        <w:rPr>
          <w:b/>
          <w:bCs/>
          <w:i w:val="0"/>
          <w:iCs w:val="0"/>
          <w:noProof/>
          <w:color w:val="auto"/>
        </w:rPr>
        <w:t>3</w:t>
      </w:r>
      <w:r w:rsidRPr="00A0722A">
        <w:rPr>
          <w:b/>
          <w:bCs/>
          <w:i w:val="0"/>
          <w:iCs w:val="0"/>
          <w:color w:val="auto"/>
        </w:rPr>
        <w:fldChar w:fldCharType="end"/>
      </w:r>
      <w:r w:rsidRPr="00A0722A">
        <w:rPr>
          <w:b/>
          <w:bCs/>
          <w:i w:val="0"/>
          <w:iCs w:val="0"/>
          <w:color w:val="auto"/>
        </w:rPr>
        <w:noBreakHyphen/>
      </w:r>
      <w:r w:rsidRPr="00A0722A">
        <w:rPr>
          <w:b/>
          <w:bCs/>
          <w:i w:val="0"/>
          <w:iCs w:val="0"/>
          <w:color w:val="auto"/>
        </w:rPr>
        <w:fldChar w:fldCharType="begin"/>
      </w:r>
      <w:r w:rsidRPr="00A0722A">
        <w:rPr>
          <w:b/>
          <w:bCs/>
          <w:i w:val="0"/>
          <w:iCs w:val="0"/>
          <w:color w:val="auto"/>
        </w:rPr>
        <w:instrText xml:space="preserve"> SEQ Figura \* ARABIC \s 1 </w:instrText>
      </w:r>
      <w:r w:rsidRPr="00A0722A">
        <w:rPr>
          <w:b/>
          <w:bCs/>
          <w:i w:val="0"/>
          <w:iCs w:val="0"/>
          <w:color w:val="auto"/>
        </w:rPr>
        <w:fldChar w:fldCharType="separate"/>
      </w:r>
      <w:r w:rsidR="00DF3FB1">
        <w:rPr>
          <w:b/>
          <w:bCs/>
          <w:i w:val="0"/>
          <w:iCs w:val="0"/>
          <w:noProof/>
          <w:color w:val="auto"/>
        </w:rPr>
        <w:t>2</w:t>
      </w:r>
      <w:r w:rsidRPr="00A0722A">
        <w:rPr>
          <w:b/>
          <w:bCs/>
          <w:i w:val="0"/>
          <w:iCs w:val="0"/>
          <w:color w:val="auto"/>
        </w:rPr>
        <w:fldChar w:fldCharType="end"/>
      </w:r>
      <w:r>
        <w:rPr>
          <w:b/>
          <w:bCs/>
          <w:i w:val="0"/>
          <w:iCs w:val="0"/>
          <w:color w:val="auto"/>
        </w:rPr>
        <w:t xml:space="preserve"> Extracto </w:t>
      </w:r>
      <w:r>
        <w:rPr>
          <w:b/>
          <w:bCs/>
          <w:i w:val="0"/>
          <w:iCs w:val="0"/>
          <w:color w:val="auto"/>
        </w:rPr>
        <w:t>Resolución Exent</w:t>
      </w:r>
      <w:r w:rsidR="00E27FE7">
        <w:rPr>
          <w:b/>
          <w:bCs/>
          <w:i w:val="0"/>
          <w:iCs w:val="0"/>
          <w:color w:val="auto"/>
        </w:rPr>
        <w:t>a</w:t>
      </w:r>
      <w:r>
        <w:rPr>
          <w:b/>
          <w:bCs/>
          <w:i w:val="0"/>
          <w:iCs w:val="0"/>
          <w:color w:val="auto"/>
        </w:rPr>
        <w:t xml:space="preserve"> N°616</w:t>
      </w:r>
      <w:bookmarkEnd w:id="5"/>
    </w:p>
    <w:p w14:paraId="11EBD5C1" w14:textId="36BE7E06" w:rsidR="00E03F39" w:rsidRPr="00BD0300" w:rsidRDefault="00E03F39" w:rsidP="00E03F39">
      <w:pPr>
        <w:pStyle w:val="Ttulo1"/>
        <w:numPr>
          <w:ilvl w:val="0"/>
          <w:numId w:val="1"/>
        </w:numPr>
        <w:pBdr>
          <w:bottom w:val="single" w:sz="4" w:space="1" w:color="auto"/>
        </w:pBdr>
        <w:ind w:left="426" w:right="27" w:hanging="426"/>
        <w:jc w:val="both"/>
        <w:rPr>
          <w:spacing w:val="-2"/>
          <w:lang w:val="es-CL"/>
        </w:rPr>
      </w:pPr>
      <w:bookmarkStart w:id="6" w:name="_Toc190271432"/>
      <w:r>
        <w:rPr>
          <w:spacing w:val="-2"/>
          <w:lang w:val="es-CL"/>
        </w:rPr>
        <w:lastRenderedPageBreak/>
        <w:t>DESARROLLO DE LA OBRA</w:t>
      </w:r>
      <w:bookmarkEnd w:id="6"/>
    </w:p>
    <w:p w14:paraId="2C7F598C" w14:textId="082CDB29" w:rsidR="00063A1F" w:rsidRDefault="00063A1F" w:rsidP="00E03F39">
      <w:pPr>
        <w:spacing w:before="240"/>
        <w:jc w:val="both"/>
        <w:rPr>
          <w:rFonts w:ascii="Calibri" w:eastAsia="Calibri" w:hAnsi="Calibri" w:cs="Calibri"/>
        </w:rPr>
      </w:pPr>
      <w:r w:rsidRPr="00063A1F">
        <w:rPr>
          <w:rFonts w:ascii="Calibri" w:eastAsia="Calibri" w:hAnsi="Calibri" w:cs="Calibri"/>
        </w:rPr>
        <w:t>Respecto a las obras, el avance del proyecto se encuentra principalmente relacionado con los materiales adquiridos y la ingeniería</w:t>
      </w:r>
      <w:r w:rsidR="003E6064">
        <w:rPr>
          <w:rFonts w:ascii="Calibri" w:eastAsia="Calibri" w:hAnsi="Calibri" w:cs="Calibri"/>
        </w:rPr>
        <w:t xml:space="preserve"> de </w:t>
      </w:r>
      <w:r w:rsidR="00C318A6">
        <w:rPr>
          <w:rFonts w:ascii="Calibri" w:eastAsia="Calibri" w:hAnsi="Calibri" w:cs="Calibri"/>
        </w:rPr>
        <w:t>reemplazo</w:t>
      </w:r>
      <w:r w:rsidRPr="00063A1F">
        <w:rPr>
          <w:rFonts w:ascii="Calibri" w:eastAsia="Calibri" w:hAnsi="Calibri" w:cs="Calibri"/>
        </w:rPr>
        <w:t>. En cuanto a las adquisiciones, gran parte del equipamiento principal ya ha sido suministrado y se encuentra almacenado en las bodegas de SQM.</w:t>
      </w:r>
    </w:p>
    <w:p w14:paraId="462156B7" w14:textId="6F6F5A15" w:rsidR="00A11996" w:rsidRDefault="00A11996" w:rsidP="00E03F39">
      <w:pPr>
        <w:spacing w:before="240"/>
        <w:jc w:val="both"/>
        <w:rPr>
          <w:rFonts w:ascii="Calibri" w:eastAsia="Calibri" w:hAnsi="Calibri" w:cs="Calibri"/>
        </w:rPr>
      </w:pPr>
      <w:r w:rsidRPr="00A11996">
        <w:rPr>
          <w:rFonts w:ascii="Calibri" w:eastAsia="Calibri" w:hAnsi="Calibri" w:cs="Calibri"/>
        </w:rPr>
        <w:t>Según los antecedentes</w:t>
      </w:r>
      <w:r w:rsidR="00100965">
        <w:rPr>
          <w:rFonts w:ascii="Calibri" w:eastAsia="Calibri" w:hAnsi="Calibri" w:cs="Calibri"/>
        </w:rPr>
        <w:t xml:space="preserve"> revisado</w:t>
      </w:r>
      <w:r w:rsidRPr="00A11996">
        <w:rPr>
          <w:rFonts w:ascii="Calibri" w:eastAsia="Calibri" w:hAnsi="Calibri" w:cs="Calibri"/>
        </w:rPr>
        <w:t>, como los protocolos de recepción de suministro</w:t>
      </w:r>
      <w:r w:rsidR="00100965">
        <w:rPr>
          <w:rFonts w:ascii="Calibri" w:eastAsia="Calibri" w:hAnsi="Calibri" w:cs="Calibri"/>
        </w:rPr>
        <w:t xml:space="preserve"> y facturas</w:t>
      </w:r>
      <w:r w:rsidRPr="00A11996">
        <w:rPr>
          <w:rFonts w:ascii="Calibri" w:eastAsia="Calibri" w:hAnsi="Calibri" w:cs="Calibri"/>
        </w:rPr>
        <w:t xml:space="preserve">, hasta la fecha </w:t>
      </w:r>
      <w:r w:rsidR="00063A1F">
        <w:rPr>
          <w:rFonts w:ascii="Calibri" w:eastAsia="Calibri" w:hAnsi="Calibri" w:cs="Calibri"/>
        </w:rPr>
        <w:t>SQM</w:t>
      </w:r>
      <w:r w:rsidRPr="00A11996">
        <w:rPr>
          <w:rFonts w:ascii="Calibri" w:eastAsia="Calibri" w:hAnsi="Calibri" w:cs="Calibri"/>
        </w:rPr>
        <w:t xml:space="preserve"> ha recibido los siguientes equipos:</w:t>
      </w:r>
    </w:p>
    <w:p w14:paraId="0997A4B9" w14:textId="2E6C8314" w:rsidR="00A93B7D" w:rsidRDefault="00E94F6E" w:rsidP="00A93B7D">
      <w:pPr>
        <w:pStyle w:val="Prrafodelista"/>
        <w:numPr>
          <w:ilvl w:val="0"/>
          <w:numId w:val="68"/>
        </w:numPr>
        <w:spacing w:before="240"/>
        <w:jc w:val="both"/>
        <w:rPr>
          <w:rFonts w:ascii="Calibri" w:eastAsia="Calibri" w:hAnsi="Calibri" w:cs="Calibri"/>
        </w:rPr>
      </w:pPr>
      <w:r>
        <w:rPr>
          <w:rFonts w:ascii="Calibri" w:eastAsia="Calibri" w:hAnsi="Calibri" w:cs="Calibri"/>
        </w:rPr>
        <w:t xml:space="preserve">Una (1) </w:t>
      </w:r>
      <w:r w:rsidR="00A93B7D">
        <w:rPr>
          <w:rFonts w:ascii="Calibri" w:eastAsia="Calibri" w:hAnsi="Calibri" w:cs="Calibri"/>
        </w:rPr>
        <w:t xml:space="preserve">Celda de Media Tensión Tipo </w:t>
      </w:r>
      <w:proofErr w:type="spellStart"/>
      <w:r w:rsidR="00A93B7D">
        <w:rPr>
          <w:rFonts w:ascii="Calibri" w:eastAsia="Calibri" w:hAnsi="Calibri" w:cs="Calibri"/>
        </w:rPr>
        <w:t>Dog</w:t>
      </w:r>
      <w:proofErr w:type="spellEnd"/>
      <w:r w:rsidR="00A93B7D">
        <w:rPr>
          <w:rFonts w:ascii="Calibri" w:eastAsia="Calibri" w:hAnsi="Calibri" w:cs="Calibri"/>
        </w:rPr>
        <w:t xml:space="preserve">-House, </w:t>
      </w:r>
      <w:r w:rsidR="00A93B7D" w:rsidRPr="00A93B7D">
        <w:rPr>
          <w:rFonts w:ascii="Calibri" w:eastAsia="Calibri" w:hAnsi="Calibri" w:cs="Calibri"/>
        </w:rPr>
        <w:t>Modelo BMV 24/630/25</w:t>
      </w:r>
      <w:r w:rsidR="00A93B7D">
        <w:rPr>
          <w:rFonts w:ascii="Calibri" w:eastAsia="Calibri" w:hAnsi="Calibri" w:cs="Calibri"/>
        </w:rPr>
        <w:t>, 23 kV</w:t>
      </w:r>
      <w:r w:rsidR="00A93B7D" w:rsidRPr="00A93B7D">
        <w:rPr>
          <w:rFonts w:ascii="Calibri" w:eastAsia="Calibri" w:hAnsi="Calibri" w:cs="Calibri"/>
        </w:rPr>
        <w:t>,</w:t>
      </w:r>
      <w:r w:rsidR="00A93B7D">
        <w:rPr>
          <w:rFonts w:ascii="Calibri" w:eastAsia="Calibri" w:hAnsi="Calibri" w:cs="Calibri"/>
        </w:rPr>
        <w:t xml:space="preserve"> </w:t>
      </w:r>
      <w:r w:rsidR="00A93B7D" w:rsidRPr="00A93B7D">
        <w:rPr>
          <w:rFonts w:ascii="Calibri" w:eastAsia="Calibri" w:hAnsi="Calibri" w:cs="Calibri"/>
        </w:rPr>
        <w:t xml:space="preserve">Metal </w:t>
      </w:r>
      <w:proofErr w:type="spellStart"/>
      <w:r w:rsidR="00A93B7D" w:rsidRPr="00A93B7D">
        <w:rPr>
          <w:rFonts w:ascii="Calibri" w:eastAsia="Calibri" w:hAnsi="Calibri" w:cs="Calibri"/>
        </w:rPr>
        <w:t>Enclosed</w:t>
      </w:r>
      <w:proofErr w:type="spellEnd"/>
      <w:r w:rsidR="00A93B7D" w:rsidRPr="00A93B7D">
        <w:rPr>
          <w:rFonts w:ascii="Calibri" w:eastAsia="Calibri" w:hAnsi="Calibri" w:cs="Calibri"/>
        </w:rPr>
        <w:t>,</w:t>
      </w:r>
      <w:r w:rsidR="00A93B7D" w:rsidRPr="00A93B7D">
        <w:t xml:space="preserve"> </w:t>
      </w:r>
      <w:r w:rsidR="00A93B7D">
        <w:t>de d</w:t>
      </w:r>
      <w:r w:rsidR="00A93B7D" w:rsidRPr="00A93B7D">
        <w:rPr>
          <w:rFonts w:ascii="Calibri" w:eastAsia="Calibri" w:hAnsi="Calibri" w:cs="Calibri"/>
        </w:rPr>
        <w:t>imensiones 2050x2460x1500 mm,</w:t>
      </w:r>
      <w:r w:rsidR="00A93B7D">
        <w:rPr>
          <w:rFonts w:ascii="Calibri" w:eastAsia="Calibri" w:hAnsi="Calibri" w:cs="Calibri"/>
        </w:rPr>
        <w:t xml:space="preserve"> con equipamiento de </w:t>
      </w:r>
      <w:r w:rsidR="00A93B7D">
        <w:rPr>
          <w:rFonts w:ascii="Calibri" w:eastAsia="Calibri" w:hAnsi="Calibri" w:cs="Calibri"/>
        </w:rPr>
        <w:t>23 kV</w:t>
      </w:r>
      <w:r w:rsidR="00A93B7D">
        <w:rPr>
          <w:rFonts w:ascii="Calibri" w:eastAsia="Calibri" w:hAnsi="Calibri" w:cs="Calibri"/>
        </w:rPr>
        <w:t xml:space="preserve">, </w:t>
      </w:r>
      <w:r w:rsidR="00A93B7D" w:rsidRPr="00A11996">
        <w:rPr>
          <w:rFonts w:ascii="Calibri" w:eastAsia="Calibri" w:hAnsi="Calibri" w:cs="Calibri"/>
        </w:rPr>
        <w:t>clase 36 kV y BIL 145 kV</w:t>
      </w:r>
      <w:r w:rsidR="00A93B7D">
        <w:rPr>
          <w:rFonts w:ascii="Calibri" w:eastAsia="Calibri" w:hAnsi="Calibri" w:cs="Calibri"/>
        </w:rPr>
        <w:t xml:space="preserve">, 125 </w:t>
      </w:r>
      <w:proofErr w:type="spellStart"/>
      <w:r w:rsidR="00A93B7D">
        <w:rPr>
          <w:rFonts w:ascii="Calibri" w:eastAsia="Calibri" w:hAnsi="Calibri" w:cs="Calibri"/>
        </w:rPr>
        <w:t>Vcc</w:t>
      </w:r>
      <w:proofErr w:type="spellEnd"/>
      <w:r w:rsidR="00A93B7D">
        <w:rPr>
          <w:rFonts w:ascii="Calibri" w:eastAsia="Calibri" w:hAnsi="Calibri" w:cs="Calibri"/>
        </w:rPr>
        <w:t>.</w:t>
      </w:r>
    </w:p>
    <w:p w14:paraId="74B50E5C" w14:textId="77777777" w:rsidR="00A93B7D" w:rsidRDefault="00A93B7D" w:rsidP="00A93B7D">
      <w:pPr>
        <w:pStyle w:val="Prrafodelista"/>
        <w:numPr>
          <w:ilvl w:val="1"/>
          <w:numId w:val="68"/>
        </w:numPr>
        <w:spacing w:before="240"/>
        <w:jc w:val="both"/>
        <w:rPr>
          <w:rFonts w:ascii="Calibri" w:eastAsia="Calibri" w:hAnsi="Calibri" w:cs="Calibri"/>
        </w:rPr>
      </w:pPr>
      <w:r>
        <w:rPr>
          <w:rFonts w:ascii="Calibri" w:eastAsia="Calibri" w:hAnsi="Calibri" w:cs="Calibri"/>
        </w:rPr>
        <w:t xml:space="preserve">Interruptor 52E1, 23 kV, 630 A, 25 </w:t>
      </w:r>
      <w:proofErr w:type="spellStart"/>
      <w:r>
        <w:rPr>
          <w:rFonts w:ascii="Calibri" w:eastAsia="Calibri" w:hAnsi="Calibri" w:cs="Calibri"/>
        </w:rPr>
        <w:t>kA</w:t>
      </w:r>
      <w:proofErr w:type="spellEnd"/>
      <w:r>
        <w:rPr>
          <w:rFonts w:ascii="Calibri" w:eastAsia="Calibri" w:hAnsi="Calibri" w:cs="Calibri"/>
        </w:rPr>
        <w:t>.</w:t>
      </w:r>
    </w:p>
    <w:p w14:paraId="335ED835" w14:textId="57CC7AC0" w:rsidR="00A93B7D" w:rsidRDefault="00A93B7D" w:rsidP="00A93B7D">
      <w:pPr>
        <w:pStyle w:val="Prrafodelista"/>
        <w:numPr>
          <w:ilvl w:val="1"/>
          <w:numId w:val="68"/>
        </w:numPr>
        <w:spacing w:before="240"/>
        <w:jc w:val="both"/>
        <w:rPr>
          <w:rFonts w:ascii="Calibri" w:eastAsia="Calibri" w:hAnsi="Calibri" w:cs="Calibri"/>
        </w:rPr>
      </w:pPr>
      <w:r>
        <w:rPr>
          <w:rFonts w:ascii="Calibri" w:eastAsia="Calibri" w:hAnsi="Calibri" w:cs="Calibri"/>
        </w:rPr>
        <w:t xml:space="preserve">Transformador de corriente </w:t>
      </w:r>
      <w:r w:rsidRPr="00A93B7D">
        <w:rPr>
          <w:rFonts w:ascii="Calibri" w:eastAsia="Calibri" w:hAnsi="Calibri" w:cs="Calibri"/>
        </w:rPr>
        <w:t>150-300A:5-5A,</w:t>
      </w:r>
      <w:r>
        <w:rPr>
          <w:rFonts w:ascii="Calibri" w:eastAsia="Calibri" w:hAnsi="Calibri" w:cs="Calibri"/>
        </w:rPr>
        <w:t xml:space="preserve"> núcleo de protección</w:t>
      </w:r>
      <w:r w:rsidRPr="00A93B7D">
        <w:t xml:space="preserve"> </w:t>
      </w:r>
      <w:r w:rsidRPr="00A93B7D">
        <w:rPr>
          <w:rFonts w:ascii="Calibri" w:eastAsia="Calibri" w:hAnsi="Calibri" w:cs="Calibri"/>
        </w:rPr>
        <w:t>5P20, 15 VA</w:t>
      </w:r>
      <w:r>
        <w:rPr>
          <w:rFonts w:ascii="Calibri" w:eastAsia="Calibri" w:hAnsi="Calibri" w:cs="Calibri"/>
        </w:rPr>
        <w:t xml:space="preserve"> y núcleo de medición </w:t>
      </w:r>
      <w:r w:rsidRPr="00A93B7D">
        <w:rPr>
          <w:rFonts w:ascii="Calibri" w:eastAsia="Calibri" w:hAnsi="Calibri" w:cs="Calibri"/>
        </w:rPr>
        <w:t>0,2FS5, 15 VA</w:t>
      </w:r>
      <w:r>
        <w:rPr>
          <w:rFonts w:ascii="Calibri" w:eastAsia="Calibri" w:hAnsi="Calibri" w:cs="Calibri"/>
        </w:rPr>
        <w:t>.</w:t>
      </w:r>
    </w:p>
    <w:p w14:paraId="38A2C781" w14:textId="16E65805" w:rsidR="00A93B7D" w:rsidRDefault="00A93B7D" w:rsidP="00A93B7D">
      <w:pPr>
        <w:pStyle w:val="Prrafodelista"/>
        <w:numPr>
          <w:ilvl w:val="1"/>
          <w:numId w:val="68"/>
        </w:numPr>
        <w:spacing w:before="240"/>
        <w:jc w:val="both"/>
        <w:rPr>
          <w:rFonts w:ascii="Calibri" w:eastAsia="Calibri" w:hAnsi="Calibri" w:cs="Calibri"/>
        </w:rPr>
      </w:pPr>
      <w:r>
        <w:rPr>
          <w:rFonts w:ascii="Calibri" w:eastAsia="Calibri" w:hAnsi="Calibri" w:cs="Calibri"/>
        </w:rPr>
        <w:t xml:space="preserve">Transformador de potencial </w:t>
      </w:r>
      <w:r w:rsidRPr="00A93B7D">
        <w:rPr>
          <w:rFonts w:ascii="Calibri" w:eastAsia="Calibri" w:hAnsi="Calibri" w:cs="Calibri"/>
        </w:rPr>
        <w:t>24000√3:120√3-120√3 V,</w:t>
      </w:r>
      <w:r>
        <w:rPr>
          <w:rFonts w:ascii="Calibri" w:eastAsia="Calibri" w:hAnsi="Calibri" w:cs="Calibri"/>
        </w:rPr>
        <w:t xml:space="preserve"> núcleo de protección </w:t>
      </w:r>
      <w:r w:rsidRPr="00A11996">
        <w:rPr>
          <w:rFonts w:ascii="Calibri" w:eastAsia="Calibri" w:hAnsi="Calibri" w:cs="Calibri"/>
        </w:rPr>
        <w:t>3P</w:t>
      </w:r>
      <w:r>
        <w:rPr>
          <w:rFonts w:ascii="Calibri" w:eastAsia="Calibri" w:hAnsi="Calibri" w:cs="Calibri"/>
        </w:rPr>
        <w:t>,</w:t>
      </w:r>
      <w:r w:rsidRPr="00A11996">
        <w:rPr>
          <w:rFonts w:ascii="Calibri" w:eastAsia="Calibri" w:hAnsi="Calibri" w:cs="Calibri"/>
        </w:rPr>
        <w:t xml:space="preserve"> 15 VA</w:t>
      </w:r>
      <w:r>
        <w:rPr>
          <w:rFonts w:ascii="Calibri" w:eastAsia="Calibri" w:hAnsi="Calibri" w:cs="Calibri"/>
        </w:rPr>
        <w:t xml:space="preserve"> y núcleo de medición </w:t>
      </w:r>
      <w:r w:rsidRPr="00A11996">
        <w:rPr>
          <w:rFonts w:ascii="Calibri" w:eastAsia="Calibri" w:hAnsi="Calibri" w:cs="Calibri"/>
        </w:rPr>
        <w:t>0,2,</w:t>
      </w:r>
      <w:r>
        <w:rPr>
          <w:rFonts w:ascii="Calibri" w:eastAsia="Calibri" w:hAnsi="Calibri" w:cs="Calibri"/>
        </w:rPr>
        <w:t xml:space="preserve"> </w:t>
      </w:r>
      <w:r w:rsidRPr="00A11996">
        <w:rPr>
          <w:rFonts w:ascii="Calibri" w:eastAsia="Calibri" w:hAnsi="Calibri" w:cs="Calibri"/>
        </w:rPr>
        <w:t>15 VA.</w:t>
      </w:r>
    </w:p>
    <w:p w14:paraId="5C535D77" w14:textId="36591B5C" w:rsidR="00A93B7D" w:rsidRDefault="00A93B7D" w:rsidP="00A93B7D">
      <w:pPr>
        <w:pStyle w:val="Prrafodelista"/>
        <w:numPr>
          <w:ilvl w:val="1"/>
          <w:numId w:val="68"/>
        </w:numPr>
        <w:spacing w:before="240"/>
        <w:jc w:val="both"/>
        <w:rPr>
          <w:rFonts w:ascii="Calibri" w:eastAsia="Calibri" w:hAnsi="Calibri" w:cs="Calibri"/>
        </w:rPr>
      </w:pPr>
      <w:r w:rsidRPr="00A11996">
        <w:rPr>
          <w:rFonts w:ascii="Calibri" w:eastAsia="Calibri" w:hAnsi="Calibri" w:cs="Calibri"/>
        </w:rPr>
        <w:t>Tablero de control, protección y medida,</w:t>
      </w:r>
      <w:r>
        <w:rPr>
          <w:rFonts w:ascii="Calibri" w:eastAsia="Calibri" w:hAnsi="Calibri" w:cs="Calibri"/>
        </w:rPr>
        <w:t xml:space="preserve"> con relé de protección GE </w:t>
      </w:r>
      <w:proofErr w:type="spellStart"/>
      <w:r>
        <w:rPr>
          <w:rFonts w:ascii="Calibri" w:eastAsia="Calibri" w:hAnsi="Calibri" w:cs="Calibri"/>
        </w:rPr>
        <w:t>Multilin</w:t>
      </w:r>
      <w:proofErr w:type="spellEnd"/>
      <w:r>
        <w:rPr>
          <w:rFonts w:ascii="Calibri" w:eastAsia="Calibri" w:hAnsi="Calibri" w:cs="Calibri"/>
        </w:rPr>
        <w:t xml:space="preserve"> 850E y equipo de medida Schneider ION7400.</w:t>
      </w:r>
    </w:p>
    <w:p w14:paraId="4AE2C2C9" w14:textId="555A86FC" w:rsidR="00A11996" w:rsidRDefault="00E94F6E" w:rsidP="00293D7F">
      <w:pPr>
        <w:pStyle w:val="Prrafodelista"/>
        <w:numPr>
          <w:ilvl w:val="0"/>
          <w:numId w:val="68"/>
        </w:numPr>
        <w:spacing w:before="240"/>
        <w:jc w:val="both"/>
        <w:rPr>
          <w:rFonts w:ascii="Calibri" w:eastAsia="Calibri" w:hAnsi="Calibri" w:cs="Calibri"/>
        </w:rPr>
      </w:pPr>
      <w:r w:rsidRPr="00E94F6E">
        <w:rPr>
          <w:rFonts w:ascii="Calibri" w:eastAsia="Calibri" w:hAnsi="Calibri" w:cs="Calibri"/>
        </w:rPr>
        <w:t xml:space="preserve">Seis (6) Desconectadores </w:t>
      </w:r>
      <w:r w:rsidRPr="00E94F6E">
        <w:rPr>
          <w:rFonts w:ascii="Calibri" w:eastAsia="Calibri" w:hAnsi="Calibri" w:cs="Calibri"/>
        </w:rPr>
        <w:t>CHANCE</w:t>
      </w:r>
      <w:r>
        <w:rPr>
          <w:rFonts w:ascii="Calibri" w:eastAsia="Calibri" w:hAnsi="Calibri" w:cs="Calibri"/>
        </w:rPr>
        <w:t>,</w:t>
      </w:r>
      <w:r w:rsidRPr="00E94F6E">
        <w:rPr>
          <w:rFonts w:ascii="Calibri" w:eastAsia="Calibri" w:hAnsi="Calibri" w:cs="Calibri"/>
        </w:rPr>
        <w:t xml:space="preserve"> modelo M3D, tipo cuchilla, sin puesta a tierra, 23 kV, 630 A, </w:t>
      </w:r>
      <w:r>
        <w:rPr>
          <w:rFonts w:ascii="Calibri" w:eastAsia="Calibri" w:hAnsi="Calibri" w:cs="Calibri"/>
        </w:rPr>
        <w:t xml:space="preserve">BIL 125 kV, </w:t>
      </w:r>
      <w:r w:rsidRPr="00E94F6E">
        <w:rPr>
          <w:rFonts w:ascii="Calibri" w:eastAsia="Calibri" w:hAnsi="Calibri" w:cs="Calibri"/>
        </w:rPr>
        <w:t>operación manual, montaje vertical o horizontal</w:t>
      </w:r>
      <w:r>
        <w:rPr>
          <w:rFonts w:ascii="Calibri" w:eastAsia="Calibri" w:hAnsi="Calibri" w:cs="Calibri"/>
        </w:rPr>
        <w:t>.</w:t>
      </w:r>
    </w:p>
    <w:p w14:paraId="708655C4" w14:textId="35CCB1FE" w:rsidR="0082039A" w:rsidRPr="0082039A" w:rsidRDefault="0082039A" w:rsidP="0082039A">
      <w:pPr>
        <w:spacing w:before="240"/>
        <w:ind w:left="360"/>
        <w:jc w:val="both"/>
        <w:rPr>
          <w:rFonts w:ascii="Calibri" w:eastAsia="Calibri" w:hAnsi="Calibri" w:cs="Calibri"/>
        </w:rPr>
      </w:pPr>
      <w:r>
        <w:rPr>
          <w:rFonts w:ascii="Calibri" w:eastAsia="Calibri" w:hAnsi="Calibri" w:cs="Calibri"/>
        </w:rPr>
        <w:t xml:space="preserve">Como referencia, se muestra las </w:t>
      </w:r>
      <w:r w:rsidR="008F1E60">
        <w:rPr>
          <w:rFonts w:ascii="Calibri" w:eastAsia="Calibri" w:hAnsi="Calibri" w:cs="Calibri"/>
        </w:rPr>
        <w:t>siguientes fotografías</w:t>
      </w:r>
      <w:r w:rsidR="00C318A6">
        <w:rPr>
          <w:rFonts w:ascii="Calibri" w:eastAsia="Calibri" w:hAnsi="Calibri" w:cs="Calibri"/>
        </w:rPr>
        <w:t xml:space="preserve">, </w:t>
      </w:r>
      <w:r w:rsidR="00C318A6">
        <w:rPr>
          <w:rFonts w:ascii="Calibri" w:eastAsia="Calibri" w:hAnsi="Calibri" w:cs="Calibri"/>
        </w:rPr>
        <w:t>con fecha 18-01-2024</w:t>
      </w:r>
      <w:r>
        <w:rPr>
          <w:rFonts w:ascii="Calibri" w:eastAsia="Calibri" w:hAnsi="Calibri" w:cs="Calibri"/>
        </w:rPr>
        <w:t>, durante la protocolización de la Celda MT y su equipamiento</w:t>
      </w:r>
      <w:r w:rsidR="00C318A6">
        <w:rPr>
          <w:rFonts w:ascii="Calibri" w:eastAsia="Calibri" w:hAnsi="Calibri" w:cs="Calibri"/>
        </w:rPr>
        <w:t>.</w:t>
      </w:r>
    </w:p>
    <w:tbl>
      <w:tblPr>
        <w:tblStyle w:val="Tablaconcuadrcula"/>
        <w:tblW w:w="0" w:type="auto"/>
        <w:tblLook w:val="04A0" w:firstRow="1" w:lastRow="0" w:firstColumn="1" w:lastColumn="0" w:noHBand="0" w:noVBand="1"/>
      </w:tblPr>
      <w:tblGrid>
        <w:gridCol w:w="5034"/>
        <w:gridCol w:w="5483"/>
      </w:tblGrid>
      <w:tr w:rsidR="0082039A" w14:paraId="1DE377E7" w14:textId="77777777" w:rsidTr="0082039A">
        <w:trPr>
          <w:trHeight w:val="3548"/>
        </w:trPr>
        <w:tc>
          <w:tcPr>
            <w:tcW w:w="4901" w:type="dxa"/>
          </w:tcPr>
          <w:p w14:paraId="691802CA" w14:textId="20CF1B0C" w:rsidR="0082039A" w:rsidRDefault="0082039A" w:rsidP="00100965">
            <w:pPr>
              <w:rPr>
                <w:rFonts w:ascii="Calibri" w:eastAsia="Calibri" w:hAnsi="Calibri" w:cs="Calibri"/>
              </w:rPr>
            </w:pPr>
            <w:r w:rsidRPr="0082039A">
              <w:rPr>
                <w:rFonts w:ascii="Calibri" w:eastAsia="Calibri" w:hAnsi="Calibri" w:cs="Calibri"/>
              </w:rPr>
              <w:drawing>
                <wp:inline distT="0" distB="0" distL="0" distR="0" wp14:anchorId="444D5C53" wp14:editId="05AF21EA">
                  <wp:extent cx="3269615" cy="3082424"/>
                  <wp:effectExtent l="0" t="0" r="6985" b="3810"/>
                  <wp:docPr id="1619761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61546" name=""/>
                          <pic:cNvPicPr/>
                        </pic:nvPicPr>
                        <pic:blipFill>
                          <a:blip r:embed="rId15"/>
                          <a:stretch>
                            <a:fillRect/>
                          </a:stretch>
                        </pic:blipFill>
                        <pic:spPr>
                          <a:xfrm>
                            <a:off x="0" y="0"/>
                            <a:ext cx="3276685" cy="3089089"/>
                          </a:xfrm>
                          <a:prstGeom prst="rect">
                            <a:avLst/>
                          </a:prstGeom>
                        </pic:spPr>
                      </pic:pic>
                    </a:graphicData>
                  </a:graphic>
                </wp:inline>
              </w:drawing>
            </w:r>
          </w:p>
        </w:tc>
        <w:tc>
          <w:tcPr>
            <w:tcW w:w="5616" w:type="dxa"/>
          </w:tcPr>
          <w:p w14:paraId="592FE7FB" w14:textId="509B4902" w:rsidR="0082039A" w:rsidRDefault="0082039A" w:rsidP="00100965">
            <w:pPr>
              <w:rPr>
                <w:rFonts w:ascii="Calibri" w:eastAsia="Calibri" w:hAnsi="Calibri" w:cs="Calibri"/>
              </w:rPr>
            </w:pPr>
            <w:r w:rsidRPr="0082039A">
              <w:rPr>
                <w:rFonts w:ascii="Calibri" w:eastAsia="Calibri" w:hAnsi="Calibri" w:cs="Calibri"/>
              </w:rPr>
              <w:drawing>
                <wp:inline distT="0" distB="0" distL="0" distR="0" wp14:anchorId="704CB78D" wp14:editId="10523763">
                  <wp:extent cx="3575597" cy="3082925"/>
                  <wp:effectExtent l="0" t="0" r="6350" b="3175"/>
                  <wp:docPr id="891734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34967" name=""/>
                          <pic:cNvPicPr/>
                        </pic:nvPicPr>
                        <pic:blipFill>
                          <a:blip r:embed="rId16"/>
                          <a:stretch>
                            <a:fillRect/>
                          </a:stretch>
                        </pic:blipFill>
                        <pic:spPr>
                          <a:xfrm>
                            <a:off x="0" y="0"/>
                            <a:ext cx="3595966" cy="3100488"/>
                          </a:xfrm>
                          <a:prstGeom prst="rect">
                            <a:avLst/>
                          </a:prstGeom>
                        </pic:spPr>
                      </pic:pic>
                    </a:graphicData>
                  </a:graphic>
                </wp:inline>
              </w:drawing>
            </w:r>
          </w:p>
        </w:tc>
      </w:tr>
    </w:tbl>
    <w:p w14:paraId="7F277B40" w14:textId="4D299E7B" w:rsidR="0082039A" w:rsidRPr="00A0722A" w:rsidRDefault="0082039A" w:rsidP="0082039A">
      <w:pPr>
        <w:pStyle w:val="Descripcin"/>
        <w:jc w:val="center"/>
        <w:rPr>
          <w:rFonts w:ascii="Calibri" w:eastAsia="Calibri" w:hAnsi="Calibri" w:cs="Calibri"/>
          <w:b/>
          <w:bCs/>
          <w:i w:val="0"/>
          <w:iCs w:val="0"/>
          <w:color w:val="auto"/>
          <w:highlight w:val="yellow"/>
        </w:rPr>
      </w:pPr>
      <w:bookmarkStart w:id="7" w:name="_Toc190271591"/>
      <w:r w:rsidRPr="00A0722A">
        <w:rPr>
          <w:b/>
          <w:bCs/>
          <w:i w:val="0"/>
          <w:iCs w:val="0"/>
          <w:color w:val="auto"/>
        </w:rPr>
        <w:t xml:space="preserve">Figura </w:t>
      </w:r>
      <w:r w:rsidRPr="00A0722A">
        <w:rPr>
          <w:b/>
          <w:bCs/>
          <w:i w:val="0"/>
          <w:iCs w:val="0"/>
          <w:color w:val="auto"/>
        </w:rPr>
        <w:fldChar w:fldCharType="begin"/>
      </w:r>
      <w:r w:rsidRPr="00A0722A">
        <w:rPr>
          <w:b/>
          <w:bCs/>
          <w:i w:val="0"/>
          <w:iCs w:val="0"/>
          <w:color w:val="auto"/>
        </w:rPr>
        <w:instrText xml:space="preserve"> STYLEREF 1 \s </w:instrText>
      </w:r>
      <w:r w:rsidRPr="00A0722A">
        <w:rPr>
          <w:b/>
          <w:bCs/>
          <w:i w:val="0"/>
          <w:iCs w:val="0"/>
          <w:color w:val="auto"/>
        </w:rPr>
        <w:fldChar w:fldCharType="separate"/>
      </w:r>
      <w:r w:rsidR="00063A1F">
        <w:rPr>
          <w:b/>
          <w:bCs/>
          <w:i w:val="0"/>
          <w:iCs w:val="0"/>
          <w:noProof/>
          <w:color w:val="auto"/>
        </w:rPr>
        <w:t>4</w:t>
      </w:r>
      <w:r w:rsidRPr="00A0722A">
        <w:rPr>
          <w:b/>
          <w:bCs/>
          <w:i w:val="0"/>
          <w:iCs w:val="0"/>
          <w:color w:val="auto"/>
        </w:rPr>
        <w:fldChar w:fldCharType="end"/>
      </w:r>
      <w:r w:rsidRPr="00A0722A">
        <w:rPr>
          <w:b/>
          <w:bCs/>
          <w:i w:val="0"/>
          <w:iCs w:val="0"/>
          <w:color w:val="auto"/>
        </w:rPr>
        <w:noBreakHyphen/>
      </w:r>
      <w:r w:rsidRPr="00A0722A">
        <w:rPr>
          <w:b/>
          <w:bCs/>
          <w:i w:val="0"/>
          <w:iCs w:val="0"/>
          <w:color w:val="auto"/>
        </w:rPr>
        <w:fldChar w:fldCharType="begin"/>
      </w:r>
      <w:r w:rsidRPr="00A0722A">
        <w:rPr>
          <w:b/>
          <w:bCs/>
          <w:i w:val="0"/>
          <w:iCs w:val="0"/>
          <w:color w:val="auto"/>
        </w:rPr>
        <w:instrText xml:space="preserve"> SEQ Figura \* ARABIC \s 1 </w:instrText>
      </w:r>
      <w:r w:rsidRPr="00A0722A">
        <w:rPr>
          <w:b/>
          <w:bCs/>
          <w:i w:val="0"/>
          <w:iCs w:val="0"/>
          <w:color w:val="auto"/>
        </w:rPr>
        <w:fldChar w:fldCharType="separate"/>
      </w:r>
      <w:r w:rsidR="00063A1F">
        <w:rPr>
          <w:b/>
          <w:bCs/>
          <w:i w:val="0"/>
          <w:iCs w:val="0"/>
          <w:noProof/>
          <w:color w:val="auto"/>
        </w:rPr>
        <w:t>1</w:t>
      </w:r>
      <w:r w:rsidRPr="00A0722A">
        <w:rPr>
          <w:b/>
          <w:bCs/>
          <w:i w:val="0"/>
          <w:iCs w:val="0"/>
          <w:color w:val="auto"/>
        </w:rPr>
        <w:fldChar w:fldCharType="end"/>
      </w:r>
      <w:r>
        <w:rPr>
          <w:b/>
          <w:bCs/>
          <w:i w:val="0"/>
          <w:iCs w:val="0"/>
          <w:color w:val="auto"/>
        </w:rPr>
        <w:t xml:space="preserve"> </w:t>
      </w:r>
      <w:r>
        <w:rPr>
          <w:b/>
          <w:bCs/>
          <w:i w:val="0"/>
          <w:iCs w:val="0"/>
          <w:color w:val="auto"/>
        </w:rPr>
        <w:t>Fotografías durante protocolización de Celda</w:t>
      </w:r>
      <w:bookmarkEnd w:id="7"/>
    </w:p>
    <w:p w14:paraId="2508EB28" w14:textId="77777777" w:rsidR="0082039A" w:rsidRDefault="0082039A" w:rsidP="00100965">
      <w:pPr>
        <w:rPr>
          <w:rFonts w:ascii="Calibri" w:eastAsia="Calibri" w:hAnsi="Calibri" w:cs="Calibri"/>
        </w:rPr>
      </w:pPr>
    </w:p>
    <w:p w14:paraId="30ACDC3E" w14:textId="0B28C1FE" w:rsidR="00100965" w:rsidRPr="00100965" w:rsidRDefault="00100965" w:rsidP="00100965">
      <w:pPr>
        <w:rPr>
          <w:rFonts w:ascii="Calibri" w:eastAsia="Calibri" w:hAnsi="Calibri" w:cs="Calibri"/>
        </w:rPr>
      </w:pPr>
      <w:r w:rsidRPr="00100965">
        <w:rPr>
          <w:rFonts w:ascii="Calibri" w:eastAsia="Calibri" w:hAnsi="Calibri" w:cs="Calibri"/>
        </w:rPr>
        <w:lastRenderedPageBreak/>
        <w:t>Respecto al avance en la</w:t>
      </w:r>
      <w:r>
        <w:rPr>
          <w:rFonts w:ascii="Calibri" w:eastAsia="Calibri" w:hAnsi="Calibri" w:cs="Calibri"/>
        </w:rPr>
        <w:t xml:space="preserve"> etapa de</w:t>
      </w:r>
      <w:r w:rsidRPr="00100965">
        <w:rPr>
          <w:rFonts w:ascii="Calibri" w:eastAsia="Calibri" w:hAnsi="Calibri" w:cs="Calibri"/>
        </w:rPr>
        <w:t xml:space="preserve"> construcción, no se presenta ningún avance significativo, ya que se trata de un reemplazo del equipamiento existente por uno de mayor capacidad, lo cual solo será efectivo una vez aprobado el proceso de interconexión por parte del Coordinador.</w:t>
      </w:r>
    </w:p>
    <w:p w14:paraId="0CD0C07C" w14:textId="58D896DE" w:rsidR="00E03F39" w:rsidRPr="00BD0300" w:rsidRDefault="00E03F39" w:rsidP="00E03F39">
      <w:pPr>
        <w:pStyle w:val="Ttulo1"/>
        <w:numPr>
          <w:ilvl w:val="0"/>
          <w:numId w:val="1"/>
        </w:numPr>
        <w:pBdr>
          <w:bottom w:val="single" w:sz="4" w:space="1" w:color="auto"/>
        </w:pBdr>
        <w:ind w:left="426" w:right="27" w:hanging="426"/>
        <w:jc w:val="both"/>
        <w:rPr>
          <w:spacing w:val="-2"/>
          <w:lang w:val="es-CL"/>
        </w:rPr>
      </w:pPr>
      <w:bookmarkStart w:id="8" w:name="_Toc190271433"/>
      <w:r>
        <w:rPr>
          <w:spacing w:val="-2"/>
          <w:lang w:val="es-CL"/>
        </w:rPr>
        <w:t>DETALLES DEL RETRASO</w:t>
      </w:r>
      <w:bookmarkEnd w:id="8"/>
    </w:p>
    <w:p w14:paraId="63E0B7DC" w14:textId="36EC1DE7" w:rsidR="0001252D" w:rsidRDefault="003E6064" w:rsidP="00D759BD">
      <w:pPr>
        <w:spacing w:before="240"/>
        <w:jc w:val="both"/>
        <w:rPr>
          <w:rFonts w:ascii="Calibri" w:eastAsia="Calibri" w:hAnsi="Calibri" w:cs="Calibri"/>
        </w:rPr>
      </w:pPr>
      <w:r w:rsidRPr="003E6064">
        <w:rPr>
          <w:rFonts w:ascii="Calibri" w:eastAsia="Calibri" w:hAnsi="Calibri" w:cs="Calibri"/>
        </w:rPr>
        <w:t xml:space="preserve">El proyecto NUP 3703 de SQM ha experimentado un retraso en su cronograma de ejecución debido principalmente a factores externos relacionados con la infraestructura de transmisión eléctrica, en particular con las obras de ampliación de la barra de 23 kV en la subestación Lagunas, que inicialmente SQM consideraba modificada. Esta ampliación debía estar en proceso de modificación por parte de </w:t>
      </w:r>
      <w:proofErr w:type="spellStart"/>
      <w:r w:rsidRPr="003E6064">
        <w:rPr>
          <w:rFonts w:ascii="Calibri" w:eastAsia="Calibri" w:hAnsi="Calibri" w:cs="Calibri"/>
        </w:rPr>
        <w:t>Transelec</w:t>
      </w:r>
      <w:proofErr w:type="spellEnd"/>
      <w:r w:rsidRPr="003E6064">
        <w:rPr>
          <w:rFonts w:ascii="Calibri" w:eastAsia="Calibri" w:hAnsi="Calibri" w:cs="Calibri"/>
        </w:rPr>
        <w:t xml:space="preserve"> al momento de iniciar el proceso de conexión del NUP 3703</w:t>
      </w:r>
      <w:r>
        <w:rPr>
          <w:rFonts w:ascii="Calibri" w:eastAsia="Calibri" w:hAnsi="Calibri" w:cs="Calibri"/>
        </w:rPr>
        <w:t>.</w:t>
      </w:r>
      <w:r w:rsidRPr="003E6064">
        <w:rPr>
          <w:rFonts w:ascii="Calibri" w:eastAsia="Calibri" w:hAnsi="Calibri" w:cs="Calibri"/>
        </w:rPr>
        <w:t xml:space="preserve"> </w:t>
      </w:r>
      <w:r>
        <w:rPr>
          <w:rFonts w:ascii="Calibri" w:eastAsia="Calibri" w:hAnsi="Calibri" w:cs="Calibri"/>
        </w:rPr>
        <w:t>S</w:t>
      </w:r>
      <w:r w:rsidRPr="003E6064">
        <w:rPr>
          <w:rFonts w:ascii="Calibri" w:eastAsia="Calibri" w:hAnsi="Calibri" w:cs="Calibri"/>
        </w:rPr>
        <w:t xml:space="preserve">in embargo, dicha gestión estaba vinculada al proyecto PMG Buenaventura (NUP 605), de propiedad de </w:t>
      </w:r>
      <w:proofErr w:type="spellStart"/>
      <w:r w:rsidRPr="003E6064">
        <w:rPr>
          <w:rFonts w:ascii="Calibri" w:eastAsia="Calibri" w:hAnsi="Calibri" w:cs="Calibri"/>
        </w:rPr>
        <w:t>Grenergy</w:t>
      </w:r>
      <w:proofErr w:type="spellEnd"/>
      <w:r w:rsidRPr="003E6064">
        <w:rPr>
          <w:rFonts w:ascii="Calibri" w:eastAsia="Calibri" w:hAnsi="Calibri" w:cs="Calibri"/>
        </w:rPr>
        <w:t xml:space="preserve">. La falta de avance en la ejecución de esta modificación de infraestructura, necesaria tanto para el proyecto de SQM como para el proyecto PMG, </w:t>
      </w:r>
      <w:r>
        <w:rPr>
          <w:rFonts w:ascii="Calibri" w:eastAsia="Calibri" w:hAnsi="Calibri" w:cs="Calibri"/>
        </w:rPr>
        <w:t>provocó</w:t>
      </w:r>
      <w:r w:rsidRPr="003E6064">
        <w:rPr>
          <w:rFonts w:ascii="Calibri" w:eastAsia="Calibri" w:hAnsi="Calibri" w:cs="Calibri"/>
        </w:rPr>
        <w:t xml:space="preserve"> un impacto directo en los plazos de ejecución de SQM.</w:t>
      </w:r>
    </w:p>
    <w:p w14:paraId="101C0344" w14:textId="264D24B0" w:rsidR="0001252D" w:rsidRDefault="0001252D" w:rsidP="00D759BD">
      <w:pPr>
        <w:spacing w:before="240"/>
        <w:jc w:val="both"/>
        <w:rPr>
          <w:rFonts w:ascii="Calibri" w:eastAsia="Calibri" w:hAnsi="Calibri" w:cs="Calibri"/>
        </w:rPr>
      </w:pPr>
      <w:r w:rsidRPr="0001252D">
        <w:rPr>
          <w:rFonts w:ascii="Calibri" w:eastAsia="Calibri" w:hAnsi="Calibri" w:cs="Calibri"/>
        </w:rPr>
        <w:t xml:space="preserve">El retraso en la ejecución de las obras de ampliación de la barra de 23 kV se originó debido a la falta de gestión oportuna por parte de </w:t>
      </w:r>
      <w:proofErr w:type="spellStart"/>
      <w:r w:rsidRPr="0001252D">
        <w:rPr>
          <w:rFonts w:ascii="Calibri" w:eastAsia="Calibri" w:hAnsi="Calibri" w:cs="Calibri"/>
        </w:rPr>
        <w:t>Transelec</w:t>
      </w:r>
      <w:proofErr w:type="spellEnd"/>
      <w:r w:rsidRPr="0001252D">
        <w:rPr>
          <w:rFonts w:ascii="Calibri" w:eastAsia="Calibri" w:hAnsi="Calibri" w:cs="Calibri"/>
        </w:rPr>
        <w:t xml:space="preserve">, la empresa encargada de realizar las modificaciones necesarias en la infraestructura de transmisión. Aunque los proyectos de SQM y </w:t>
      </w:r>
      <w:proofErr w:type="spellStart"/>
      <w:r w:rsidRPr="0001252D">
        <w:rPr>
          <w:rFonts w:ascii="Calibri" w:eastAsia="Calibri" w:hAnsi="Calibri" w:cs="Calibri"/>
        </w:rPr>
        <w:t>Grenergy</w:t>
      </w:r>
      <w:proofErr w:type="spellEnd"/>
      <w:r w:rsidRPr="0001252D">
        <w:rPr>
          <w:rFonts w:ascii="Calibri" w:eastAsia="Calibri" w:hAnsi="Calibri" w:cs="Calibri"/>
        </w:rPr>
        <w:t xml:space="preserve"> tienen fechas de puesta en servicio distintas, ambos comparten la necesidad de ampliar o modificar la barra de 23 kV en la subestación Lagunas para interconectar sus respectivos </w:t>
      </w:r>
      <w:r w:rsidR="003E6064">
        <w:rPr>
          <w:rFonts w:ascii="Calibri" w:eastAsia="Calibri" w:hAnsi="Calibri" w:cs="Calibri"/>
        </w:rPr>
        <w:t>proyectos</w:t>
      </w:r>
      <w:r w:rsidRPr="0001252D">
        <w:rPr>
          <w:rFonts w:ascii="Calibri" w:eastAsia="Calibri" w:hAnsi="Calibri" w:cs="Calibri"/>
        </w:rPr>
        <w:t xml:space="preserve">. La falta de planificación y coordinación adecuada por parte de </w:t>
      </w:r>
      <w:proofErr w:type="spellStart"/>
      <w:r w:rsidRPr="0001252D">
        <w:rPr>
          <w:rFonts w:ascii="Calibri" w:eastAsia="Calibri" w:hAnsi="Calibri" w:cs="Calibri"/>
        </w:rPr>
        <w:t>Transelec</w:t>
      </w:r>
      <w:proofErr w:type="spellEnd"/>
      <w:r w:rsidRPr="0001252D">
        <w:rPr>
          <w:rFonts w:ascii="Calibri" w:eastAsia="Calibri" w:hAnsi="Calibri" w:cs="Calibri"/>
        </w:rPr>
        <w:t xml:space="preserve"> en la ejecución de esta modificación relevante ha tenido un impacto directo en los cronogramas de ambos proyectos, lo que ha provocado el retraso en la interconexión de la planta fotovoltaica PMG y en la ampliación de la capacidad de las instalaciones TEA y Hermosa de SQM.</w:t>
      </w:r>
    </w:p>
    <w:p w14:paraId="1F64848F" w14:textId="77777777" w:rsidR="0001252D" w:rsidRPr="0001252D" w:rsidRDefault="0001252D" w:rsidP="0001252D">
      <w:pPr>
        <w:jc w:val="both"/>
        <w:rPr>
          <w:rFonts w:ascii="Calibri" w:eastAsia="Calibri" w:hAnsi="Calibri" w:cs="Calibri"/>
        </w:rPr>
      </w:pPr>
      <w:r w:rsidRPr="0001252D">
        <w:rPr>
          <w:rFonts w:ascii="Calibri" w:eastAsia="Calibri" w:hAnsi="Calibri" w:cs="Calibri"/>
        </w:rPr>
        <w:t xml:space="preserve">Este atraso en la infraestructura esencial ha generado un efecto en cadena, afectando el cronograma general del proyecto de SQM y estableciendo fechas de puesta en servicio que no resultaron viables debido a las demoras en la correspondiente declaración en construcción y/o el proceso de modificación relevante de la barra de 23 kV. Inicialmente, SQM asumió la responsabilidad de realizar las modificaciones a su propio costo; sin embargo, dado que el paño nuevo solicitado por </w:t>
      </w:r>
      <w:proofErr w:type="spellStart"/>
      <w:r w:rsidRPr="0001252D">
        <w:rPr>
          <w:rFonts w:ascii="Calibri" w:eastAsia="Calibri" w:hAnsi="Calibri" w:cs="Calibri"/>
        </w:rPr>
        <w:t>Grenergy</w:t>
      </w:r>
      <w:proofErr w:type="spellEnd"/>
      <w:r w:rsidRPr="0001252D">
        <w:rPr>
          <w:rFonts w:ascii="Calibri" w:eastAsia="Calibri" w:hAnsi="Calibri" w:cs="Calibri"/>
        </w:rPr>
        <w:t xml:space="preserve"> no estaba incluido en esos costos, y debido a que </w:t>
      </w:r>
      <w:proofErr w:type="spellStart"/>
      <w:r w:rsidRPr="0001252D">
        <w:rPr>
          <w:rFonts w:ascii="Calibri" w:eastAsia="Calibri" w:hAnsi="Calibri" w:cs="Calibri"/>
        </w:rPr>
        <w:t>Transelec</w:t>
      </w:r>
      <w:proofErr w:type="spellEnd"/>
      <w:r w:rsidRPr="0001252D">
        <w:rPr>
          <w:rFonts w:ascii="Calibri" w:eastAsia="Calibri" w:hAnsi="Calibri" w:cs="Calibri"/>
        </w:rPr>
        <w:t xml:space="preserve"> no pudo gestionarlo, no fue posible iniciar las obras a tiempo. La falta de avances en las obras de ampliación y el cambio de conductor, necesarios para el aumento de capacidad y el funcionamiento adecuado del sistema eléctrico, impidió que se cumpliera con el cronograma previsto. Este factor externo, fuera del control de SQM, ha provocado un retraso justificable en la fecha de puesta en servicio de la infraestructura eléctrica para el proyecto de SQM.</w:t>
      </w:r>
    </w:p>
    <w:p w14:paraId="115A5EAC" w14:textId="14B74A6C" w:rsidR="0001252D" w:rsidRPr="0001252D" w:rsidRDefault="0001252D" w:rsidP="0001252D">
      <w:pPr>
        <w:jc w:val="both"/>
        <w:rPr>
          <w:rFonts w:ascii="Calibri" w:eastAsia="Calibri" w:hAnsi="Calibri" w:cs="Calibri"/>
        </w:rPr>
      </w:pPr>
      <w:r w:rsidRPr="0001252D">
        <w:rPr>
          <w:rFonts w:ascii="Calibri" w:eastAsia="Calibri" w:hAnsi="Calibri" w:cs="Calibri"/>
        </w:rPr>
        <w:t xml:space="preserve">Por otra parte, el 15 de octubre de 2024, la Comisión Nacional de Energía (CNE) emitió la Resolución Exenta </w:t>
      </w:r>
      <w:proofErr w:type="spellStart"/>
      <w:r w:rsidRPr="0001252D">
        <w:rPr>
          <w:rFonts w:ascii="Calibri" w:eastAsia="Calibri" w:hAnsi="Calibri" w:cs="Calibri"/>
        </w:rPr>
        <w:t>N°</w:t>
      </w:r>
      <w:proofErr w:type="spellEnd"/>
      <w:r w:rsidRPr="0001252D">
        <w:rPr>
          <w:rFonts w:ascii="Calibri" w:eastAsia="Calibri" w:hAnsi="Calibri" w:cs="Calibri"/>
        </w:rPr>
        <w:t xml:space="preserve"> 5</w:t>
      </w:r>
      <w:r>
        <w:rPr>
          <w:rFonts w:ascii="Calibri" w:eastAsia="Calibri" w:hAnsi="Calibri" w:cs="Calibri"/>
        </w:rPr>
        <w:t>5</w:t>
      </w:r>
      <w:r w:rsidRPr="0001252D">
        <w:rPr>
          <w:rFonts w:ascii="Calibri" w:eastAsia="Calibri" w:hAnsi="Calibri" w:cs="Calibri"/>
        </w:rPr>
        <w:t xml:space="preserve">3, que autoriza la modificación relevante consistente en la ampliación y aumento de capacidad de la barra de 23 kV, mediante el reemplazo del conductor actual Cu 4/0 por un conductor AAAC Flint y la construcción de una nueva posición (paño E4) para la instalación del futuro alimentador del parque fotovoltaico PFV Buenaventura. Esta resolución ha permitido continuar con las obras de ampliación y facilitar la interconexión tanto para el proyecto PMG como para el de SQM. Sin embargo, la demora en la obtención de esta autorización y en la ejecución de las obras pertinentes ha afectado directamente los plazos establecidos para el proyecto de SQM. Se estima que la tramitación y puesta en servicio de las modificaciones en la subestación Lagunas 23 kV tomará al menos 8 meses, lo cual </w:t>
      </w:r>
      <w:r w:rsidR="003E6064">
        <w:rPr>
          <w:rFonts w:ascii="Calibri" w:eastAsia="Calibri" w:hAnsi="Calibri" w:cs="Calibri"/>
        </w:rPr>
        <w:t>generará</w:t>
      </w:r>
      <w:r w:rsidRPr="0001252D">
        <w:rPr>
          <w:rFonts w:ascii="Calibri" w:eastAsia="Calibri" w:hAnsi="Calibri" w:cs="Calibri"/>
        </w:rPr>
        <w:t xml:space="preserve"> un retraso significativo en el cronograma original.</w:t>
      </w:r>
    </w:p>
    <w:p w14:paraId="4F0A17EF" w14:textId="41522F32" w:rsidR="0001252D" w:rsidRDefault="0001252D" w:rsidP="00D759BD">
      <w:pPr>
        <w:spacing w:before="240"/>
        <w:jc w:val="both"/>
        <w:rPr>
          <w:rFonts w:ascii="Calibri" w:eastAsia="Calibri" w:hAnsi="Calibri" w:cs="Calibri"/>
        </w:rPr>
      </w:pPr>
      <w:r w:rsidRPr="0001252D">
        <w:rPr>
          <w:rFonts w:ascii="Calibri" w:eastAsia="Calibri" w:hAnsi="Calibri" w:cs="Calibri"/>
        </w:rPr>
        <w:lastRenderedPageBreak/>
        <w:t xml:space="preserve">Con base en estos antecedentes, se justifica el atraso en la ejecución del proyecto de SQM, ya que la falta de gestión adecuada por parte de </w:t>
      </w:r>
      <w:proofErr w:type="spellStart"/>
      <w:r w:rsidRPr="0001252D">
        <w:rPr>
          <w:rFonts w:ascii="Calibri" w:eastAsia="Calibri" w:hAnsi="Calibri" w:cs="Calibri"/>
        </w:rPr>
        <w:t>Transelec</w:t>
      </w:r>
      <w:proofErr w:type="spellEnd"/>
      <w:r w:rsidRPr="0001252D">
        <w:rPr>
          <w:rFonts w:ascii="Calibri" w:eastAsia="Calibri" w:hAnsi="Calibri" w:cs="Calibri"/>
        </w:rPr>
        <w:t xml:space="preserve"> en la modificación de la infraestructura esencial para la interconexión ha provocado un retraso en la ejecución de las obras necesarias para la ampliación de la capacidad de las faenas TEA y Hermosa de SQM. Este retraso ha tenido un impacto directo en el cronograma del proyecto, lo que ha obligado a postergar la fecha de puesta en servicio hasta finales de 2025.</w:t>
      </w:r>
    </w:p>
    <w:p w14:paraId="61378E8B" w14:textId="6FE2B2A6" w:rsidR="00E03F39" w:rsidRPr="00BD0300" w:rsidRDefault="00E03F39" w:rsidP="00E03F39">
      <w:pPr>
        <w:pStyle w:val="Ttulo1"/>
        <w:numPr>
          <w:ilvl w:val="0"/>
          <w:numId w:val="1"/>
        </w:numPr>
        <w:pBdr>
          <w:bottom w:val="single" w:sz="4" w:space="1" w:color="auto"/>
        </w:pBdr>
        <w:ind w:left="426" w:right="27" w:hanging="426"/>
        <w:jc w:val="both"/>
        <w:rPr>
          <w:spacing w:val="-2"/>
          <w:lang w:val="es-CL"/>
        </w:rPr>
      </w:pPr>
      <w:bookmarkStart w:id="9" w:name="_Toc190271434"/>
      <w:r>
        <w:rPr>
          <w:spacing w:val="-2"/>
          <w:lang w:val="es-CL"/>
        </w:rPr>
        <w:t xml:space="preserve">DETALLES </w:t>
      </w:r>
      <w:r>
        <w:rPr>
          <w:spacing w:val="-2"/>
          <w:lang w:val="es-CL"/>
        </w:rPr>
        <w:t>DE SOLICITUD DE INICIO DE PROCESO DE INTERCONEXIÓN</w:t>
      </w:r>
      <w:bookmarkEnd w:id="9"/>
    </w:p>
    <w:p w14:paraId="4968CB81" w14:textId="0C5DED88" w:rsidR="008F1E60" w:rsidRDefault="008F1E60" w:rsidP="00E03F39">
      <w:pPr>
        <w:spacing w:before="240"/>
        <w:jc w:val="both"/>
        <w:rPr>
          <w:rFonts w:ascii="Calibri" w:eastAsia="Calibri" w:hAnsi="Calibri" w:cs="Calibri"/>
        </w:rPr>
      </w:pPr>
      <w:r w:rsidRPr="008F1E60">
        <w:rPr>
          <w:rFonts w:ascii="Calibri" w:eastAsia="Calibri" w:hAnsi="Calibri" w:cs="Calibri"/>
        </w:rPr>
        <w:t>Respecto al proceso de conexión del proyecto, inicialmente SQM ingresó una Solicitud de Inicio de Proceso de Conexión (SIPC) como Modificación No Relevante (MNR) el 17 de abril de 2024. El Coordinador respondió mediante la car</w:t>
      </w:r>
      <w:r>
        <w:rPr>
          <w:rFonts w:ascii="Calibri" w:eastAsia="Calibri" w:hAnsi="Calibri" w:cs="Calibri"/>
        </w:rPr>
        <w:t>t</w:t>
      </w:r>
      <w:r w:rsidRPr="008F1E60">
        <w:rPr>
          <w:rFonts w:ascii="Calibri" w:eastAsia="Calibri" w:hAnsi="Calibri" w:cs="Calibri"/>
        </w:rPr>
        <w:t>a DE 02172-24 el 30 de abril de 2024, indicando la no admisibilidad del proyecto debido a un cambio de topología en el punto de conexión, específicamente por el reemplazo del conductor de barra en Lagunas 23 kV. Como resultado, se determinó que era necesari</w:t>
      </w:r>
      <w:r w:rsidR="003E6064">
        <w:rPr>
          <w:rFonts w:ascii="Calibri" w:eastAsia="Calibri" w:hAnsi="Calibri" w:cs="Calibri"/>
        </w:rPr>
        <w:t>o</w:t>
      </w:r>
      <w:r w:rsidRPr="008F1E60">
        <w:rPr>
          <w:rFonts w:ascii="Calibri" w:eastAsia="Calibri" w:hAnsi="Calibri" w:cs="Calibri"/>
        </w:rPr>
        <w:t xml:space="preserve"> una nueva solicitud como Modificación Relevante.</w:t>
      </w:r>
    </w:p>
    <w:p w14:paraId="22AEFCB2" w14:textId="0096BC30" w:rsidR="0082039A" w:rsidRDefault="0082039A" w:rsidP="0082039A">
      <w:pPr>
        <w:spacing w:before="240"/>
        <w:jc w:val="both"/>
        <w:rPr>
          <w:rFonts w:ascii="Calibri" w:eastAsia="Calibri" w:hAnsi="Calibri" w:cs="Calibri"/>
        </w:rPr>
      </w:pPr>
      <w:r>
        <w:rPr>
          <w:rFonts w:ascii="Calibri" w:eastAsia="Calibri" w:hAnsi="Calibri" w:cs="Calibri"/>
        </w:rPr>
        <w:t>Posteriormente, SQM</w:t>
      </w:r>
      <w:r w:rsidRPr="0082039A">
        <w:rPr>
          <w:rFonts w:ascii="Calibri" w:eastAsia="Calibri" w:hAnsi="Calibri" w:cs="Calibri"/>
        </w:rPr>
        <w:t xml:space="preserve"> ingresó la Solicitud de Inicio de Proceso de Conexión (SIPC)</w:t>
      </w:r>
      <w:r>
        <w:rPr>
          <w:rFonts w:ascii="Calibri" w:eastAsia="Calibri" w:hAnsi="Calibri" w:cs="Calibri"/>
        </w:rPr>
        <w:t>, como Modificación Relevante (MR),</w:t>
      </w:r>
      <w:r w:rsidR="008D07DB">
        <w:rPr>
          <w:rFonts w:ascii="Calibri" w:eastAsia="Calibri" w:hAnsi="Calibri" w:cs="Calibri"/>
        </w:rPr>
        <w:t xml:space="preserve"> el 17 de julio de 2024, siendo admisible y</w:t>
      </w:r>
      <w:r w:rsidRPr="0082039A">
        <w:rPr>
          <w:rFonts w:ascii="Calibri" w:eastAsia="Calibri" w:hAnsi="Calibri" w:cs="Calibri"/>
        </w:rPr>
        <w:t xml:space="preserve"> que a la fecha mantiene su tramitación de conexión mediante la Plataforma de Gestión de Proyecto (PGP) bajo el NUP </w:t>
      </w:r>
      <w:r w:rsidR="00D60557">
        <w:rPr>
          <w:rFonts w:ascii="Calibri" w:eastAsia="Calibri" w:hAnsi="Calibri" w:cs="Calibri"/>
        </w:rPr>
        <w:t>3703</w:t>
      </w:r>
      <w:r w:rsidRPr="0082039A">
        <w:rPr>
          <w:rFonts w:ascii="Calibri" w:eastAsia="Calibri" w:hAnsi="Calibri" w:cs="Calibri"/>
        </w:rPr>
        <w:t xml:space="preserve">, </w:t>
      </w:r>
      <w:r w:rsidR="00D60557">
        <w:rPr>
          <w:rFonts w:ascii="Calibri" w:eastAsia="Calibri" w:hAnsi="Calibri" w:cs="Calibri"/>
        </w:rPr>
        <w:t>con avance igual a</w:t>
      </w:r>
      <w:r w:rsidRPr="0082039A">
        <w:rPr>
          <w:rFonts w:ascii="Calibri" w:eastAsia="Calibri" w:hAnsi="Calibri" w:cs="Calibri"/>
        </w:rPr>
        <w:t>l 1</w:t>
      </w:r>
      <w:r w:rsidR="00D60557">
        <w:rPr>
          <w:rFonts w:ascii="Calibri" w:eastAsia="Calibri" w:hAnsi="Calibri" w:cs="Calibri"/>
        </w:rPr>
        <w:t>2</w:t>
      </w:r>
      <w:r w:rsidRPr="0082039A">
        <w:rPr>
          <w:rFonts w:ascii="Calibri" w:eastAsia="Calibri" w:hAnsi="Calibri" w:cs="Calibri"/>
        </w:rPr>
        <w:t>%, de acuerdo con el criterio de avance de la plataforma respecto de los requerimientos de conexión hasta la entrada en operación, a su vez un 1</w:t>
      </w:r>
      <w:r w:rsidR="00D60557">
        <w:rPr>
          <w:rFonts w:ascii="Calibri" w:eastAsia="Calibri" w:hAnsi="Calibri" w:cs="Calibri"/>
        </w:rPr>
        <w:t>3</w:t>
      </w:r>
      <w:r w:rsidRPr="0082039A">
        <w:rPr>
          <w:rFonts w:ascii="Calibri" w:eastAsia="Calibri" w:hAnsi="Calibri" w:cs="Calibri"/>
        </w:rPr>
        <w:t>% de avance respecto de la puesta en servicio del proyecto.</w:t>
      </w:r>
    </w:p>
    <w:p w14:paraId="285238A6" w14:textId="66F08AC6" w:rsidR="0082039A" w:rsidRPr="0082039A" w:rsidRDefault="0082039A" w:rsidP="0082039A">
      <w:pPr>
        <w:spacing w:before="240"/>
        <w:jc w:val="both"/>
        <w:rPr>
          <w:rFonts w:ascii="Calibri" w:eastAsia="Calibri" w:hAnsi="Calibri" w:cs="Calibri"/>
        </w:rPr>
      </w:pPr>
      <w:r w:rsidRPr="0082039A">
        <w:rPr>
          <w:rFonts w:ascii="Calibri" w:eastAsia="Calibri" w:hAnsi="Calibri" w:cs="Calibri"/>
        </w:rPr>
        <w:t xml:space="preserve">El proyecto cuenta con Carta de Escenarios Mínimos (CEM) Definitiva emitida el </w:t>
      </w:r>
      <w:r w:rsidR="00D60557">
        <w:rPr>
          <w:rFonts w:ascii="Calibri" w:eastAsia="Calibri" w:hAnsi="Calibri" w:cs="Calibri"/>
        </w:rPr>
        <w:t>02</w:t>
      </w:r>
      <w:r w:rsidRPr="0082039A">
        <w:rPr>
          <w:rFonts w:ascii="Calibri" w:eastAsia="Calibri" w:hAnsi="Calibri" w:cs="Calibri"/>
        </w:rPr>
        <w:t xml:space="preserve"> de septiembre de 202</w:t>
      </w:r>
      <w:r w:rsidR="00D60557">
        <w:rPr>
          <w:rFonts w:ascii="Calibri" w:eastAsia="Calibri" w:hAnsi="Calibri" w:cs="Calibri"/>
        </w:rPr>
        <w:t>4</w:t>
      </w:r>
      <w:r w:rsidRPr="0082039A">
        <w:rPr>
          <w:rFonts w:ascii="Calibri" w:eastAsia="Calibri" w:hAnsi="Calibri" w:cs="Calibri"/>
        </w:rPr>
        <w:t xml:space="preserve">, la cual incluye los anexos: </w:t>
      </w:r>
    </w:p>
    <w:p w14:paraId="7553FFEF" w14:textId="77777777" w:rsidR="0082039A" w:rsidRPr="0082039A" w:rsidRDefault="0082039A" w:rsidP="0082039A">
      <w:pPr>
        <w:spacing w:before="240"/>
        <w:jc w:val="both"/>
        <w:rPr>
          <w:rFonts w:ascii="Calibri" w:eastAsia="Calibri" w:hAnsi="Calibri" w:cs="Calibri"/>
        </w:rPr>
      </w:pPr>
      <w:r w:rsidRPr="0082039A">
        <w:rPr>
          <w:rFonts w:ascii="Calibri" w:eastAsia="Calibri" w:hAnsi="Calibri" w:cs="Calibri"/>
        </w:rPr>
        <w:t xml:space="preserve">1. Definición de estudios, escenarios y contingencias operacionales, solicitando: </w:t>
      </w:r>
    </w:p>
    <w:p w14:paraId="328E668A" w14:textId="383A078B" w:rsidR="0082039A" w:rsidRPr="00D60557" w:rsidRDefault="0082039A" w:rsidP="00D60557">
      <w:pPr>
        <w:pStyle w:val="Prrafodelista"/>
        <w:numPr>
          <w:ilvl w:val="0"/>
          <w:numId w:val="69"/>
        </w:numPr>
        <w:spacing w:before="240"/>
        <w:jc w:val="both"/>
        <w:rPr>
          <w:rFonts w:ascii="Calibri" w:eastAsia="Calibri" w:hAnsi="Calibri" w:cs="Calibri"/>
        </w:rPr>
      </w:pPr>
      <w:r w:rsidRPr="00D60557">
        <w:rPr>
          <w:rFonts w:ascii="Calibri" w:eastAsia="Calibri" w:hAnsi="Calibri" w:cs="Calibri"/>
        </w:rPr>
        <w:t xml:space="preserve">Estudio de </w:t>
      </w:r>
      <w:r w:rsidR="00D60557">
        <w:rPr>
          <w:rFonts w:ascii="Calibri" w:eastAsia="Calibri" w:hAnsi="Calibri" w:cs="Calibri"/>
        </w:rPr>
        <w:t>Flujo de Potencia</w:t>
      </w:r>
      <w:r w:rsidRPr="00D60557">
        <w:rPr>
          <w:rFonts w:ascii="Calibri" w:eastAsia="Calibri" w:hAnsi="Calibri" w:cs="Calibri"/>
        </w:rPr>
        <w:t xml:space="preserve"> </w:t>
      </w:r>
    </w:p>
    <w:p w14:paraId="1C009992" w14:textId="2BF5A924" w:rsidR="0082039A" w:rsidRPr="00D60557" w:rsidRDefault="0082039A" w:rsidP="00D60557">
      <w:pPr>
        <w:pStyle w:val="Prrafodelista"/>
        <w:numPr>
          <w:ilvl w:val="0"/>
          <w:numId w:val="69"/>
        </w:numPr>
        <w:spacing w:before="240"/>
        <w:jc w:val="both"/>
        <w:rPr>
          <w:rFonts w:ascii="Calibri" w:eastAsia="Calibri" w:hAnsi="Calibri" w:cs="Calibri"/>
        </w:rPr>
      </w:pPr>
      <w:r w:rsidRPr="00D60557">
        <w:rPr>
          <w:rFonts w:ascii="Calibri" w:eastAsia="Calibri" w:hAnsi="Calibri" w:cs="Calibri"/>
        </w:rPr>
        <w:t>Estudio de Coordinación y Ajuste de Protecciones.</w:t>
      </w:r>
    </w:p>
    <w:p w14:paraId="73743408" w14:textId="1FE19398" w:rsidR="0082039A" w:rsidRDefault="0082039A" w:rsidP="00E812D7">
      <w:pPr>
        <w:jc w:val="both"/>
        <w:rPr>
          <w:rFonts w:ascii="Calibri" w:eastAsia="Calibri" w:hAnsi="Calibri" w:cs="Calibri"/>
        </w:rPr>
      </w:pPr>
      <w:r w:rsidRPr="0082039A">
        <w:rPr>
          <w:rFonts w:ascii="Calibri" w:eastAsia="Calibri" w:hAnsi="Calibri" w:cs="Calibri"/>
        </w:rPr>
        <w:t xml:space="preserve">2. Antecedentes necesarios de información técnica (ANIT) de proyectos, donde se solicita informar datos asociados a </w:t>
      </w:r>
      <w:r w:rsidR="008F1E60">
        <w:rPr>
          <w:rFonts w:ascii="Calibri" w:eastAsia="Calibri" w:hAnsi="Calibri" w:cs="Calibri"/>
        </w:rPr>
        <w:t>los reemplazos principalmente</w:t>
      </w:r>
      <w:r w:rsidRPr="0082039A">
        <w:rPr>
          <w:rFonts w:ascii="Calibri" w:eastAsia="Calibri" w:hAnsi="Calibri" w:cs="Calibri"/>
        </w:rPr>
        <w:t xml:space="preserve"> del proyecto. </w:t>
      </w:r>
    </w:p>
    <w:p w14:paraId="04C5C310" w14:textId="0634E1DC" w:rsidR="00D60557" w:rsidRDefault="00D60557" w:rsidP="00E812D7">
      <w:pPr>
        <w:spacing w:after="0"/>
        <w:jc w:val="center"/>
        <w:rPr>
          <w:rFonts w:ascii="Calibri" w:eastAsia="Calibri" w:hAnsi="Calibri" w:cs="Calibri"/>
        </w:rPr>
      </w:pPr>
      <w:r>
        <w:rPr>
          <w:noProof/>
        </w:rPr>
        <w:lastRenderedPageBreak/>
        <w:drawing>
          <wp:inline distT="0" distB="0" distL="0" distR="0" wp14:anchorId="35C96F11" wp14:editId="4ECCD1FA">
            <wp:extent cx="4212742" cy="3582053"/>
            <wp:effectExtent l="0" t="0" r="0" b="0"/>
            <wp:docPr id="590544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44070" name=""/>
                    <pic:cNvPicPr/>
                  </pic:nvPicPr>
                  <pic:blipFill>
                    <a:blip r:embed="rId17"/>
                    <a:stretch>
                      <a:fillRect/>
                    </a:stretch>
                  </pic:blipFill>
                  <pic:spPr>
                    <a:xfrm>
                      <a:off x="0" y="0"/>
                      <a:ext cx="4242786" cy="3607599"/>
                    </a:xfrm>
                    <a:prstGeom prst="rect">
                      <a:avLst/>
                    </a:prstGeom>
                  </pic:spPr>
                </pic:pic>
              </a:graphicData>
            </a:graphic>
          </wp:inline>
        </w:drawing>
      </w:r>
    </w:p>
    <w:p w14:paraId="0AA0225F" w14:textId="7BA27F6A" w:rsidR="004B4534" w:rsidRPr="00A0722A" w:rsidRDefault="004B4534" w:rsidP="004B4534">
      <w:pPr>
        <w:pStyle w:val="Descripcin"/>
        <w:jc w:val="center"/>
        <w:rPr>
          <w:rFonts w:ascii="Calibri" w:eastAsia="Calibri" w:hAnsi="Calibri" w:cs="Calibri"/>
          <w:b/>
          <w:bCs/>
          <w:i w:val="0"/>
          <w:iCs w:val="0"/>
          <w:color w:val="auto"/>
          <w:highlight w:val="yellow"/>
        </w:rPr>
      </w:pPr>
      <w:bookmarkStart w:id="10" w:name="_Toc190271592"/>
      <w:r w:rsidRPr="00A0722A">
        <w:rPr>
          <w:b/>
          <w:bCs/>
          <w:i w:val="0"/>
          <w:iCs w:val="0"/>
          <w:color w:val="auto"/>
        </w:rPr>
        <w:t xml:space="preserve">Figura </w:t>
      </w:r>
      <w:r w:rsidRPr="00A0722A">
        <w:rPr>
          <w:b/>
          <w:bCs/>
          <w:i w:val="0"/>
          <w:iCs w:val="0"/>
          <w:color w:val="auto"/>
        </w:rPr>
        <w:fldChar w:fldCharType="begin"/>
      </w:r>
      <w:r w:rsidRPr="00A0722A">
        <w:rPr>
          <w:b/>
          <w:bCs/>
          <w:i w:val="0"/>
          <w:iCs w:val="0"/>
          <w:color w:val="auto"/>
        </w:rPr>
        <w:instrText xml:space="preserve"> STYLEREF 1 \s </w:instrText>
      </w:r>
      <w:r w:rsidRPr="00A0722A">
        <w:rPr>
          <w:b/>
          <w:bCs/>
          <w:i w:val="0"/>
          <w:iCs w:val="0"/>
          <w:color w:val="auto"/>
        </w:rPr>
        <w:fldChar w:fldCharType="separate"/>
      </w:r>
      <w:r w:rsidR="00DF3FB1">
        <w:rPr>
          <w:b/>
          <w:bCs/>
          <w:i w:val="0"/>
          <w:iCs w:val="0"/>
          <w:noProof/>
          <w:color w:val="auto"/>
        </w:rPr>
        <w:t>6</w:t>
      </w:r>
      <w:r w:rsidRPr="00A0722A">
        <w:rPr>
          <w:b/>
          <w:bCs/>
          <w:i w:val="0"/>
          <w:iCs w:val="0"/>
          <w:color w:val="auto"/>
        </w:rPr>
        <w:fldChar w:fldCharType="end"/>
      </w:r>
      <w:r w:rsidRPr="00A0722A">
        <w:rPr>
          <w:b/>
          <w:bCs/>
          <w:i w:val="0"/>
          <w:iCs w:val="0"/>
          <w:color w:val="auto"/>
        </w:rPr>
        <w:noBreakHyphen/>
      </w:r>
      <w:r w:rsidRPr="00A0722A">
        <w:rPr>
          <w:b/>
          <w:bCs/>
          <w:i w:val="0"/>
          <w:iCs w:val="0"/>
          <w:color w:val="auto"/>
        </w:rPr>
        <w:fldChar w:fldCharType="begin"/>
      </w:r>
      <w:r w:rsidRPr="00A0722A">
        <w:rPr>
          <w:b/>
          <w:bCs/>
          <w:i w:val="0"/>
          <w:iCs w:val="0"/>
          <w:color w:val="auto"/>
        </w:rPr>
        <w:instrText xml:space="preserve"> SEQ Figura \* ARABIC \s 1 </w:instrText>
      </w:r>
      <w:r w:rsidRPr="00A0722A">
        <w:rPr>
          <w:b/>
          <w:bCs/>
          <w:i w:val="0"/>
          <w:iCs w:val="0"/>
          <w:color w:val="auto"/>
        </w:rPr>
        <w:fldChar w:fldCharType="separate"/>
      </w:r>
      <w:r w:rsidR="00DF3FB1">
        <w:rPr>
          <w:b/>
          <w:bCs/>
          <w:i w:val="0"/>
          <w:iCs w:val="0"/>
          <w:noProof/>
          <w:color w:val="auto"/>
        </w:rPr>
        <w:t>1</w:t>
      </w:r>
      <w:r w:rsidRPr="00A0722A">
        <w:rPr>
          <w:b/>
          <w:bCs/>
          <w:i w:val="0"/>
          <w:iCs w:val="0"/>
          <w:color w:val="auto"/>
        </w:rPr>
        <w:fldChar w:fldCharType="end"/>
      </w:r>
      <w:r>
        <w:rPr>
          <w:b/>
          <w:bCs/>
          <w:i w:val="0"/>
          <w:iCs w:val="0"/>
          <w:color w:val="auto"/>
        </w:rPr>
        <w:t xml:space="preserve"> </w:t>
      </w:r>
      <w:r>
        <w:rPr>
          <w:b/>
          <w:bCs/>
          <w:i w:val="0"/>
          <w:iCs w:val="0"/>
          <w:color w:val="auto"/>
        </w:rPr>
        <w:t>Extracto</w:t>
      </w:r>
      <w:r>
        <w:rPr>
          <w:b/>
          <w:bCs/>
          <w:i w:val="0"/>
          <w:iCs w:val="0"/>
          <w:color w:val="auto"/>
        </w:rPr>
        <w:t xml:space="preserve"> </w:t>
      </w:r>
      <w:r>
        <w:rPr>
          <w:b/>
          <w:bCs/>
          <w:i w:val="0"/>
          <w:iCs w:val="0"/>
          <w:color w:val="auto"/>
        </w:rPr>
        <w:t>Anexo N°2_CEM Definitiva</w:t>
      </w:r>
      <w:bookmarkEnd w:id="10"/>
    </w:p>
    <w:p w14:paraId="4BFD04FA" w14:textId="77777777" w:rsidR="0082039A" w:rsidRPr="0082039A" w:rsidRDefault="0082039A" w:rsidP="0082039A">
      <w:pPr>
        <w:spacing w:before="240"/>
        <w:jc w:val="both"/>
        <w:rPr>
          <w:rFonts w:ascii="Calibri" w:eastAsia="Calibri" w:hAnsi="Calibri" w:cs="Calibri"/>
        </w:rPr>
      </w:pPr>
      <w:r w:rsidRPr="0082039A">
        <w:rPr>
          <w:rFonts w:ascii="Calibri" w:eastAsia="Calibri" w:hAnsi="Calibri" w:cs="Calibri"/>
        </w:rPr>
        <w:t xml:space="preserve">3. Solicitud de estudios de ingeniería y diseño, solicitando: </w:t>
      </w:r>
    </w:p>
    <w:p w14:paraId="0D7CC565" w14:textId="77777777" w:rsidR="00D60557" w:rsidRPr="00D60557" w:rsidRDefault="00D60557" w:rsidP="00D60557">
      <w:pPr>
        <w:pStyle w:val="Prrafodelista"/>
        <w:numPr>
          <w:ilvl w:val="0"/>
          <w:numId w:val="71"/>
        </w:numPr>
        <w:spacing w:before="240"/>
        <w:jc w:val="both"/>
        <w:rPr>
          <w:rFonts w:ascii="Calibri" w:eastAsia="Calibri" w:hAnsi="Calibri" w:cs="Calibri"/>
        </w:rPr>
      </w:pPr>
      <w:r w:rsidRPr="00D60557">
        <w:rPr>
          <w:rFonts w:ascii="Calibri" w:eastAsia="Calibri" w:hAnsi="Calibri" w:cs="Calibri"/>
        </w:rPr>
        <w:t xml:space="preserve">Estudio de Capacidad de Barras (ECB). </w:t>
      </w:r>
    </w:p>
    <w:p w14:paraId="64F22430" w14:textId="0E189647" w:rsidR="0082039A" w:rsidRPr="00D60557" w:rsidRDefault="0082039A" w:rsidP="00D60557">
      <w:pPr>
        <w:pStyle w:val="Prrafodelista"/>
        <w:numPr>
          <w:ilvl w:val="0"/>
          <w:numId w:val="71"/>
        </w:numPr>
        <w:spacing w:before="240"/>
        <w:jc w:val="both"/>
        <w:rPr>
          <w:rFonts w:ascii="Calibri" w:eastAsia="Calibri" w:hAnsi="Calibri" w:cs="Calibri"/>
        </w:rPr>
      </w:pPr>
      <w:r w:rsidRPr="00D60557">
        <w:rPr>
          <w:rFonts w:ascii="Calibri" w:eastAsia="Calibri" w:hAnsi="Calibri" w:cs="Calibri"/>
        </w:rPr>
        <w:t xml:space="preserve">Estudio de Cortocircuitos y Verificación de Capacidad de Ruptura de los Interruptores (ECC) </w:t>
      </w:r>
    </w:p>
    <w:p w14:paraId="4F012976" w14:textId="1F80891A" w:rsidR="0082039A" w:rsidRPr="00D60557" w:rsidRDefault="0082039A" w:rsidP="00D60557">
      <w:pPr>
        <w:pStyle w:val="Prrafodelista"/>
        <w:numPr>
          <w:ilvl w:val="0"/>
          <w:numId w:val="71"/>
        </w:numPr>
        <w:spacing w:before="240"/>
        <w:jc w:val="both"/>
        <w:rPr>
          <w:rFonts w:ascii="Calibri" w:eastAsia="Calibri" w:hAnsi="Calibri" w:cs="Calibri"/>
        </w:rPr>
      </w:pPr>
      <w:r w:rsidRPr="00D60557">
        <w:rPr>
          <w:rFonts w:ascii="Calibri" w:eastAsia="Calibri" w:hAnsi="Calibri" w:cs="Calibri"/>
        </w:rPr>
        <w:t xml:space="preserve">Estudio de Coordinación de Aislamiento (ECA) </w:t>
      </w:r>
    </w:p>
    <w:p w14:paraId="04996C5B" w14:textId="2AEB2CE5" w:rsidR="0082039A" w:rsidRPr="0082039A" w:rsidRDefault="0082039A" w:rsidP="0082039A">
      <w:pPr>
        <w:spacing w:before="240"/>
        <w:jc w:val="both"/>
        <w:rPr>
          <w:rFonts w:ascii="Calibri" w:eastAsia="Calibri" w:hAnsi="Calibri" w:cs="Calibri"/>
        </w:rPr>
      </w:pPr>
      <w:r w:rsidRPr="0082039A">
        <w:rPr>
          <w:rFonts w:ascii="Calibri" w:eastAsia="Calibri" w:hAnsi="Calibri" w:cs="Calibri"/>
        </w:rPr>
        <w:t xml:space="preserve">4. Revisión ingeniería de diseño (RID), que verifica las exigencias mínimas de la Norma Técnica de Seguridad y Calidad de Servicio para el diseño de instalaciones de proyectos con base en los antecedentes técnicos presentados al Coordinador, en particular del Diagrama Unilineal Funcional (DUF), junto con los planos de disposición de equipos en planta y planos de corte respectivo. </w:t>
      </w:r>
    </w:p>
    <w:p w14:paraId="0CDE8893" w14:textId="79282C00" w:rsidR="0082039A" w:rsidRPr="0082039A" w:rsidRDefault="0082039A" w:rsidP="0082039A">
      <w:pPr>
        <w:spacing w:before="240"/>
        <w:jc w:val="both"/>
        <w:rPr>
          <w:rFonts w:ascii="Calibri" w:eastAsia="Calibri" w:hAnsi="Calibri" w:cs="Calibri"/>
        </w:rPr>
      </w:pPr>
      <w:r w:rsidRPr="0082039A">
        <w:rPr>
          <w:rFonts w:ascii="Calibri" w:eastAsia="Calibri" w:hAnsi="Calibri" w:cs="Calibri"/>
        </w:rPr>
        <w:t xml:space="preserve">A la fecha se cuenta con </w:t>
      </w:r>
      <w:r w:rsidR="008D07DB">
        <w:rPr>
          <w:rFonts w:ascii="Calibri" w:eastAsia="Calibri" w:hAnsi="Calibri" w:cs="Calibri"/>
        </w:rPr>
        <w:t>lo siguiente</w:t>
      </w:r>
      <w:r w:rsidRPr="0082039A">
        <w:rPr>
          <w:rFonts w:ascii="Calibri" w:eastAsia="Calibri" w:hAnsi="Calibri" w:cs="Calibri"/>
        </w:rPr>
        <w:t xml:space="preserve"> </w:t>
      </w:r>
    </w:p>
    <w:p w14:paraId="3E7B3532" w14:textId="7AEF61E0" w:rsidR="008D07DB" w:rsidRPr="008D07DB" w:rsidRDefault="008D07DB" w:rsidP="008D07DB">
      <w:pPr>
        <w:pStyle w:val="Prrafodelista"/>
        <w:numPr>
          <w:ilvl w:val="0"/>
          <w:numId w:val="73"/>
        </w:numPr>
        <w:spacing w:before="240"/>
        <w:jc w:val="both"/>
        <w:rPr>
          <w:rFonts w:ascii="Calibri" w:eastAsia="Calibri" w:hAnsi="Calibri" w:cs="Calibri"/>
        </w:rPr>
      </w:pPr>
      <w:r w:rsidRPr="008D07DB">
        <w:rPr>
          <w:rFonts w:ascii="Calibri" w:eastAsia="Calibri" w:hAnsi="Calibri" w:cs="Calibri"/>
        </w:rPr>
        <w:t xml:space="preserve">RID, aprobado el </w:t>
      </w:r>
      <w:r>
        <w:rPr>
          <w:rFonts w:ascii="Calibri" w:eastAsia="Calibri" w:hAnsi="Calibri" w:cs="Calibri"/>
        </w:rPr>
        <w:t>07</w:t>
      </w:r>
      <w:r w:rsidRPr="008D07DB">
        <w:rPr>
          <w:rFonts w:ascii="Calibri" w:eastAsia="Calibri" w:hAnsi="Calibri" w:cs="Calibri"/>
        </w:rPr>
        <w:t>/0</w:t>
      </w:r>
      <w:r>
        <w:rPr>
          <w:rFonts w:ascii="Calibri" w:eastAsia="Calibri" w:hAnsi="Calibri" w:cs="Calibri"/>
        </w:rPr>
        <w:t>7</w:t>
      </w:r>
      <w:r w:rsidRPr="008D07DB">
        <w:rPr>
          <w:rFonts w:ascii="Calibri" w:eastAsia="Calibri" w:hAnsi="Calibri" w:cs="Calibri"/>
        </w:rPr>
        <w:t xml:space="preserve">/2024 mediante documento </w:t>
      </w:r>
      <w:r>
        <w:rPr>
          <w:rFonts w:ascii="Calibri" w:eastAsia="Calibri" w:hAnsi="Calibri" w:cs="Calibri"/>
        </w:rPr>
        <w:t>2407</w:t>
      </w:r>
      <w:r w:rsidRPr="008D07DB">
        <w:rPr>
          <w:rFonts w:ascii="Calibri" w:eastAsia="Calibri" w:hAnsi="Calibri" w:cs="Calibri"/>
        </w:rPr>
        <w:t>-DEN-RI-NUP</w:t>
      </w:r>
      <w:r>
        <w:rPr>
          <w:rFonts w:ascii="Calibri" w:eastAsia="Calibri" w:hAnsi="Calibri" w:cs="Calibri"/>
        </w:rPr>
        <w:t>3703</w:t>
      </w:r>
      <w:r w:rsidRPr="008D07DB">
        <w:rPr>
          <w:rFonts w:ascii="Calibri" w:eastAsia="Calibri" w:hAnsi="Calibri" w:cs="Calibri"/>
        </w:rPr>
        <w:t>-E00-V</w:t>
      </w:r>
      <w:r>
        <w:rPr>
          <w:rFonts w:ascii="Calibri" w:eastAsia="Calibri" w:hAnsi="Calibri" w:cs="Calibri"/>
        </w:rPr>
        <w:t>1A</w:t>
      </w:r>
      <w:r w:rsidRPr="008D07DB">
        <w:rPr>
          <w:rFonts w:ascii="Calibri" w:eastAsia="Calibri" w:hAnsi="Calibri" w:cs="Calibri"/>
        </w:rPr>
        <w:t xml:space="preserve">.  </w:t>
      </w:r>
    </w:p>
    <w:p w14:paraId="502A14A4" w14:textId="16DC673C" w:rsidR="0082039A" w:rsidRPr="008D07DB" w:rsidRDefault="0082039A" w:rsidP="008D07DB">
      <w:pPr>
        <w:pStyle w:val="Prrafodelista"/>
        <w:numPr>
          <w:ilvl w:val="0"/>
          <w:numId w:val="73"/>
        </w:numPr>
        <w:spacing w:before="240"/>
        <w:jc w:val="both"/>
        <w:rPr>
          <w:rFonts w:ascii="Calibri" w:eastAsia="Calibri" w:hAnsi="Calibri" w:cs="Calibri"/>
        </w:rPr>
      </w:pPr>
      <w:r w:rsidRPr="008D07DB">
        <w:rPr>
          <w:rFonts w:ascii="Calibri" w:eastAsia="Calibri" w:hAnsi="Calibri" w:cs="Calibri"/>
        </w:rPr>
        <w:t xml:space="preserve">DUF, </w:t>
      </w:r>
      <w:r w:rsidR="008D07DB">
        <w:rPr>
          <w:rFonts w:ascii="Calibri" w:eastAsia="Calibri" w:hAnsi="Calibri" w:cs="Calibri"/>
        </w:rPr>
        <w:t>con comentarios</w:t>
      </w:r>
      <w:r w:rsidRPr="008D07DB">
        <w:rPr>
          <w:rFonts w:ascii="Calibri" w:eastAsia="Calibri" w:hAnsi="Calibri" w:cs="Calibri"/>
        </w:rPr>
        <w:t xml:space="preserve"> el </w:t>
      </w:r>
      <w:r w:rsidR="008D07DB">
        <w:rPr>
          <w:rFonts w:ascii="Calibri" w:eastAsia="Calibri" w:hAnsi="Calibri" w:cs="Calibri"/>
        </w:rPr>
        <w:t>24</w:t>
      </w:r>
      <w:r w:rsidRPr="008D07DB">
        <w:rPr>
          <w:rFonts w:ascii="Calibri" w:eastAsia="Calibri" w:hAnsi="Calibri" w:cs="Calibri"/>
        </w:rPr>
        <w:t>/</w:t>
      </w:r>
      <w:r w:rsidR="008D07DB">
        <w:rPr>
          <w:rFonts w:ascii="Calibri" w:eastAsia="Calibri" w:hAnsi="Calibri" w:cs="Calibri"/>
        </w:rPr>
        <w:t>07</w:t>
      </w:r>
      <w:r w:rsidRPr="008D07DB">
        <w:rPr>
          <w:rFonts w:ascii="Calibri" w:eastAsia="Calibri" w:hAnsi="Calibri" w:cs="Calibri"/>
        </w:rPr>
        <w:t>/2024 mediante DAIT01-001_</w:t>
      </w:r>
      <w:r w:rsidR="008D07DB">
        <w:rPr>
          <w:rFonts w:ascii="Calibri" w:eastAsia="Calibri" w:hAnsi="Calibri" w:cs="Calibri"/>
        </w:rPr>
        <w:t>3703</w:t>
      </w:r>
      <w:r w:rsidRPr="008D07DB">
        <w:rPr>
          <w:rFonts w:ascii="Calibri" w:eastAsia="Calibri" w:hAnsi="Calibri" w:cs="Calibri"/>
        </w:rPr>
        <w:t>_R0</w:t>
      </w:r>
      <w:r w:rsidR="008D07DB">
        <w:rPr>
          <w:rFonts w:ascii="Calibri" w:eastAsia="Calibri" w:hAnsi="Calibri" w:cs="Calibri"/>
        </w:rPr>
        <w:t>1</w:t>
      </w:r>
      <w:r w:rsidRPr="008D07DB">
        <w:rPr>
          <w:rFonts w:ascii="Calibri" w:eastAsia="Calibri" w:hAnsi="Calibri" w:cs="Calibri"/>
        </w:rPr>
        <w:t xml:space="preserve">. </w:t>
      </w:r>
    </w:p>
    <w:p w14:paraId="7B688A38" w14:textId="2B0F2B8C" w:rsidR="0082039A" w:rsidRDefault="0082039A" w:rsidP="0082039A">
      <w:pPr>
        <w:spacing w:before="240"/>
        <w:jc w:val="both"/>
        <w:rPr>
          <w:rFonts w:ascii="Calibri" w:eastAsia="Calibri" w:hAnsi="Calibri" w:cs="Calibri"/>
        </w:rPr>
      </w:pPr>
      <w:r w:rsidRPr="0082039A">
        <w:rPr>
          <w:rFonts w:ascii="Calibri" w:eastAsia="Calibri" w:hAnsi="Calibri" w:cs="Calibri"/>
        </w:rPr>
        <w:t>A continuación, se muestra imagen con el estado de avance del proyecto en la PGP:</w:t>
      </w:r>
    </w:p>
    <w:p w14:paraId="0488D70F" w14:textId="3A1D4A71" w:rsidR="0082039A" w:rsidRDefault="0082039A" w:rsidP="00E812D7">
      <w:pPr>
        <w:spacing w:before="240" w:after="0"/>
        <w:jc w:val="center"/>
        <w:rPr>
          <w:rFonts w:ascii="Calibri" w:eastAsia="Calibri" w:hAnsi="Calibri" w:cs="Calibri"/>
        </w:rPr>
      </w:pPr>
      <w:r>
        <w:rPr>
          <w:noProof/>
        </w:rPr>
        <w:lastRenderedPageBreak/>
        <w:drawing>
          <wp:inline distT="0" distB="0" distL="0" distR="0" wp14:anchorId="10BDA14D" wp14:editId="6CC4426D">
            <wp:extent cx="5216793" cy="4813402"/>
            <wp:effectExtent l="0" t="0" r="3175" b="6350"/>
            <wp:docPr id="1582240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40819" name=""/>
                    <pic:cNvPicPr/>
                  </pic:nvPicPr>
                  <pic:blipFill>
                    <a:blip r:embed="rId18"/>
                    <a:stretch>
                      <a:fillRect/>
                    </a:stretch>
                  </pic:blipFill>
                  <pic:spPr>
                    <a:xfrm>
                      <a:off x="0" y="0"/>
                      <a:ext cx="5273068" cy="4865325"/>
                    </a:xfrm>
                    <a:prstGeom prst="rect">
                      <a:avLst/>
                    </a:prstGeom>
                  </pic:spPr>
                </pic:pic>
              </a:graphicData>
            </a:graphic>
          </wp:inline>
        </w:drawing>
      </w:r>
    </w:p>
    <w:p w14:paraId="3CCE95A0" w14:textId="34CBB09A" w:rsidR="004B4534" w:rsidRPr="00A0722A" w:rsidRDefault="004B4534" w:rsidP="004B4534">
      <w:pPr>
        <w:pStyle w:val="Descripcin"/>
        <w:jc w:val="center"/>
        <w:rPr>
          <w:rFonts w:ascii="Calibri" w:eastAsia="Calibri" w:hAnsi="Calibri" w:cs="Calibri"/>
          <w:b/>
          <w:bCs/>
          <w:i w:val="0"/>
          <w:iCs w:val="0"/>
          <w:color w:val="auto"/>
          <w:highlight w:val="yellow"/>
        </w:rPr>
      </w:pPr>
      <w:bookmarkStart w:id="11" w:name="_Toc190271593"/>
      <w:r w:rsidRPr="00A0722A">
        <w:rPr>
          <w:b/>
          <w:bCs/>
          <w:i w:val="0"/>
          <w:iCs w:val="0"/>
          <w:color w:val="auto"/>
        </w:rPr>
        <w:t xml:space="preserve">Figura </w:t>
      </w:r>
      <w:r w:rsidRPr="00A0722A">
        <w:rPr>
          <w:b/>
          <w:bCs/>
          <w:i w:val="0"/>
          <w:iCs w:val="0"/>
          <w:color w:val="auto"/>
        </w:rPr>
        <w:fldChar w:fldCharType="begin"/>
      </w:r>
      <w:r w:rsidRPr="00A0722A">
        <w:rPr>
          <w:b/>
          <w:bCs/>
          <w:i w:val="0"/>
          <w:iCs w:val="0"/>
          <w:color w:val="auto"/>
        </w:rPr>
        <w:instrText xml:space="preserve"> STYLEREF 1 \s </w:instrText>
      </w:r>
      <w:r w:rsidRPr="00A0722A">
        <w:rPr>
          <w:b/>
          <w:bCs/>
          <w:i w:val="0"/>
          <w:iCs w:val="0"/>
          <w:color w:val="auto"/>
        </w:rPr>
        <w:fldChar w:fldCharType="separate"/>
      </w:r>
      <w:r w:rsidR="00DF3FB1">
        <w:rPr>
          <w:b/>
          <w:bCs/>
          <w:i w:val="0"/>
          <w:iCs w:val="0"/>
          <w:noProof/>
          <w:color w:val="auto"/>
        </w:rPr>
        <w:t>6</w:t>
      </w:r>
      <w:r w:rsidRPr="00A0722A">
        <w:rPr>
          <w:b/>
          <w:bCs/>
          <w:i w:val="0"/>
          <w:iCs w:val="0"/>
          <w:color w:val="auto"/>
        </w:rPr>
        <w:fldChar w:fldCharType="end"/>
      </w:r>
      <w:r w:rsidRPr="00A0722A">
        <w:rPr>
          <w:b/>
          <w:bCs/>
          <w:i w:val="0"/>
          <w:iCs w:val="0"/>
          <w:color w:val="auto"/>
        </w:rPr>
        <w:noBreakHyphen/>
      </w:r>
      <w:r w:rsidRPr="00A0722A">
        <w:rPr>
          <w:b/>
          <w:bCs/>
          <w:i w:val="0"/>
          <w:iCs w:val="0"/>
          <w:color w:val="auto"/>
        </w:rPr>
        <w:fldChar w:fldCharType="begin"/>
      </w:r>
      <w:r w:rsidRPr="00A0722A">
        <w:rPr>
          <w:b/>
          <w:bCs/>
          <w:i w:val="0"/>
          <w:iCs w:val="0"/>
          <w:color w:val="auto"/>
        </w:rPr>
        <w:instrText xml:space="preserve"> SEQ Figura \* ARABIC \s 1 </w:instrText>
      </w:r>
      <w:r w:rsidRPr="00A0722A">
        <w:rPr>
          <w:b/>
          <w:bCs/>
          <w:i w:val="0"/>
          <w:iCs w:val="0"/>
          <w:color w:val="auto"/>
        </w:rPr>
        <w:fldChar w:fldCharType="separate"/>
      </w:r>
      <w:r w:rsidR="00DF3FB1">
        <w:rPr>
          <w:b/>
          <w:bCs/>
          <w:i w:val="0"/>
          <w:iCs w:val="0"/>
          <w:noProof/>
          <w:color w:val="auto"/>
        </w:rPr>
        <w:t>2</w:t>
      </w:r>
      <w:r w:rsidRPr="00A0722A">
        <w:rPr>
          <w:b/>
          <w:bCs/>
          <w:i w:val="0"/>
          <w:iCs w:val="0"/>
          <w:color w:val="auto"/>
        </w:rPr>
        <w:fldChar w:fldCharType="end"/>
      </w:r>
      <w:r>
        <w:rPr>
          <w:b/>
          <w:bCs/>
          <w:i w:val="0"/>
          <w:iCs w:val="0"/>
          <w:color w:val="auto"/>
        </w:rPr>
        <w:t xml:space="preserve"> </w:t>
      </w:r>
      <w:r>
        <w:rPr>
          <w:b/>
          <w:bCs/>
          <w:i w:val="0"/>
          <w:iCs w:val="0"/>
          <w:color w:val="auto"/>
        </w:rPr>
        <w:t>NUP 3703 – PGP Coordinador Eléctrico Nacional</w:t>
      </w:r>
      <w:r w:rsidR="0075343A">
        <w:rPr>
          <w:b/>
          <w:bCs/>
          <w:i w:val="0"/>
          <w:iCs w:val="0"/>
          <w:color w:val="auto"/>
        </w:rPr>
        <w:t xml:space="preserve"> – Febrero 2025</w:t>
      </w:r>
      <w:bookmarkEnd w:id="11"/>
    </w:p>
    <w:p w14:paraId="2BC0D3FF" w14:textId="3266ED50" w:rsidR="008F1E60" w:rsidRDefault="008F1E60" w:rsidP="0082039A">
      <w:pPr>
        <w:spacing w:before="240"/>
        <w:jc w:val="both"/>
        <w:rPr>
          <w:rFonts w:ascii="Calibri" w:eastAsia="Calibri" w:hAnsi="Calibri" w:cs="Calibri"/>
        </w:rPr>
      </w:pPr>
      <w:r w:rsidRPr="008F1E60">
        <w:rPr>
          <w:rFonts w:ascii="Calibri" w:eastAsia="Calibri" w:hAnsi="Calibri" w:cs="Calibri"/>
        </w:rPr>
        <w:t>Con base en lo anterior, SQM ha tenido que actualizar el cronograma de conexión del proyecto, aunque nuevamente se enfrenta a retrasos debido a las obras de terceros. No obstante, considerando la Modificación Relevante de la barra 23 kV</w:t>
      </w:r>
      <w:r w:rsidR="00C318A6">
        <w:rPr>
          <w:rFonts w:ascii="Calibri" w:eastAsia="Calibri" w:hAnsi="Calibri" w:cs="Calibri"/>
        </w:rPr>
        <w:t xml:space="preserve"> de S/E Lagunas</w:t>
      </w:r>
      <w:r w:rsidRPr="008F1E60">
        <w:rPr>
          <w:rFonts w:ascii="Calibri" w:eastAsia="Calibri" w:hAnsi="Calibri" w:cs="Calibri"/>
        </w:rPr>
        <w:t>, se estima que el proyecto NUP 3703 tendrá su fecha de puesta en servicio hacia finales de 2025. De igual manera, la tramitación se regularizará y el proceso de conexión continuará conforme se vayan generando avances, basados en la información técnica, los estudios, los protocolos y cualquier otra información relevante que indique el Coordinador.</w:t>
      </w:r>
    </w:p>
    <w:p w14:paraId="59AC2AD1" w14:textId="1EBD55D2" w:rsidR="00E03F39" w:rsidRPr="00BD0300" w:rsidRDefault="00E03F39" w:rsidP="00E03F39">
      <w:pPr>
        <w:pStyle w:val="Ttulo1"/>
        <w:numPr>
          <w:ilvl w:val="0"/>
          <w:numId w:val="1"/>
        </w:numPr>
        <w:pBdr>
          <w:bottom w:val="single" w:sz="4" w:space="1" w:color="auto"/>
        </w:pBdr>
        <w:ind w:left="426" w:right="27" w:hanging="426"/>
        <w:jc w:val="both"/>
        <w:rPr>
          <w:spacing w:val="-2"/>
          <w:lang w:val="es-CL"/>
        </w:rPr>
      </w:pPr>
      <w:bookmarkStart w:id="12" w:name="_Toc190271435"/>
      <w:r>
        <w:rPr>
          <w:spacing w:val="-2"/>
          <w:lang w:val="es-CL"/>
        </w:rPr>
        <w:t>CONCLUSIONES</w:t>
      </w:r>
      <w:bookmarkEnd w:id="12"/>
    </w:p>
    <w:p w14:paraId="3B3F3183" w14:textId="3462DE1F" w:rsidR="008814C5" w:rsidRPr="008814C5" w:rsidRDefault="008814C5" w:rsidP="008814C5">
      <w:pPr>
        <w:spacing w:before="240"/>
        <w:jc w:val="both"/>
        <w:rPr>
          <w:rFonts w:ascii="Calibri" w:eastAsia="Calibri" w:hAnsi="Calibri" w:cs="Calibri"/>
        </w:rPr>
      </w:pPr>
      <w:r w:rsidRPr="008814C5">
        <w:rPr>
          <w:rFonts w:ascii="Calibri" w:eastAsia="Calibri" w:hAnsi="Calibri" w:cs="Calibri"/>
        </w:rPr>
        <w:t xml:space="preserve">El proyecto “Aumento de Potencia Consumo TEA S/E Lagunas (10 MW)” ha avanzado significativamente en términos de adquisiciones de equipamiento y desarrollo </w:t>
      </w:r>
      <w:r>
        <w:rPr>
          <w:rFonts w:ascii="Calibri" w:eastAsia="Calibri" w:hAnsi="Calibri" w:cs="Calibri"/>
        </w:rPr>
        <w:t>de ingeniería</w:t>
      </w:r>
      <w:r w:rsidRPr="008814C5">
        <w:rPr>
          <w:rFonts w:ascii="Calibri" w:eastAsia="Calibri" w:hAnsi="Calibri" w:cs="Calibri"/>
        </w:rPr>
        <w:t xml:space="preserve">, lo que demuestra </w:t>
      </w:r>
      <w:r w:rsidR="00E812D7">
        <w:rPr>
          <w:rFonts w:ascii="Calibri" w:eastAsia="Calibri" w:hAnsi="Calibri" w:cs="Calibri"/>
        </w:rPr>
        <w:t>la</w:t>
      </w:r>
      <w:r w:rsidRPr="008814C5">
        <w:rPr>
          <w:rFonts w:ascii="Calibri" w:eastAsia="Calibri" w:hAnsi="Calibri" w:cs="Calibri"/>
        </w:rPr>
        <w:t xml:space="preserve"> inversión realizad</w:t>
      </w:r>
      <w:r w:rsidR="00E812D7">
        <w:rPr>
          <w:rFonts w:ascii="Calibri" w:eastAsia="Calibri" w:hAnsi="Calibri" w:cs="Calibri"/>
        </w:rPr>
        <w:t>a</w:t>
      </w:r>
      <w:r w:rsidRPr="008814C5">
        <w:rPr>
          <w:rFonts w:ascii="Calibri" w:eastAsia="Calibri" w:hAnsi="Calibri" w:cs="Calibri"/>
        </w:rPr>
        <w:t xml:space="preserve"> hasta la fecha. Sin embargo, el proyecto ha experimentado retrasos debido a la falta de gestión oportuna de la infraestructura crítica de transmisión, particularmente en la ampliación de la barra de 23 kV en la subestación Lagunas, lo que ha afectado directamente su cronograma de ejecución.</w:t>
      </w:r>
    </w:p>
    <w:p w14:paraId="02A5F942" w14:textId="31AAD36E" w:rsidR="008814C5" w:rsidRPr="008814C5" w:rsidRDefault="008814C5" w:rsidP="008814C5">
      <w:pPr>
        <w:spacing w:before="240"/>
        <w:jc w:val="both"/>
        <w:rPr>
          <w:rFonts w:ascii="Calibri" w:eastAsia="Calibri" w:hAnsi="Calibri" w:cs="Calibri"/>
        </w:rPr>
      </w:pPr>
      <w:r w:rsidRPr="008814C5">
        <w:rPr>
          <w:rFonts w:ascii="Calibri" w:eastAsia="Calibri" w:hAnsi="Calibri" w:cs="Calibri"/>
        </w:rPr>
        <w:lastRenderedPageBreak/>
        <w:t xml:space="preserve">La modificación de la infraestructura esencial para la interconexión, que debía ser gestionada por </w:t>
      </w:r>
      <w:proofErr w:type="spellStart"/>
      <w:r w:rsidRPr="008814C5">
        <w:rPr>
          <w:rFonts w:ascii="Calibri" w:eastAsia="Calibri" w:hAnsi="Calibri" w:cs="Calibri"/>
        </w:rPr>
        <w:t>Transelec</w:t>
      </w:r>
      <w:proofErr w:type="spellEnd"/>
      <w:r w:rsidRPr="008814C5">
        <w:rPr>
          <w:rFonts w:ascii="Calibri" w:eastAsia="Calibri" w:hAnsi="Calibri" w:cs="Calibri"/>
        </w:rPr>
        <w:t>, no se realizó a tiempo, lo que ocasionó un impacto directo en los plazos de ejecución del proyecto de SQM. Este retraso ha generado una incertidumbre desde el punto de vista económico, ralentizando la inversión proyectada y afectando las diversas áreas del desarrollo del proyecto. Esta incertidumbre se ha visto reflejada en la necesidad de replanificar el cronograma de conexión, el cual ha sido modificado debido a la falta de avances en las obras de ampliación y cambio de conductor, esenciales para el aumento de capacidad del sistema eléctrico.</w:t>
      </w:r>
    </w:p>
    <w:p w14:paraId="105DAC3A" w14:textId="3365151D" w:rsidR="00E812D7" w:rsidRDefault="00E812D7" w:rsidP="008814C5">
      <w:pPr>
        <w:spacing w:before="240"/>
        <w:jc w:val="both"/>
        <w:rPr>
          <w:rFonts w:ascii="Calibri" w:eastAsia="Calibri" w:hAnsi="Calibri" w:cs="Calibri"/>
        </w:rPr>
      </w:pPr>
      <w:r w:rsidRPr="00E812D7">
        <w:rPr>
          <w:rFonts w:ascii="Calibri" w:eastAsia="Calibri" w:hAnsi="Calibri" w:cs="Calibri"/>
        </w:rPr>
        <w:t xml:space="preserve">A pesar de las complicaciones previas, se han logrado avances significativos en la tramitación de la modificación de la infraestructura y en la obtención de las autorizaciones necesarias. La reciente autorización de la CNE para continuar con la ampliación de la barra de 23 kV ha permitido reactivar las obras, lo que es un paso clave para el progreso de los proyectos. Actualmente, </w:t>
      </w:r>
      <w:proofErr w:type="spellStart"/>
      <w:r w:rsidRPr="00E812D7">
        <w:rPr>
          <w:rFonts w:ascii="Calibri" w:eastAsia="Calibri" w:hAnsi="Calibri" w:cs="Calibri"/>
        </w:rPr>
        <w:t>Transelec</w:t>
      </w:r>
      <w:proofErr w:type="spellEnd"/>
      <w:r w:rsidRPr="00E812D7">
        <w:rPr>
          <w:rFonts w:ascii="Calibri" w:eastAsia="Calibri" w:hAnsi="Calibri" w:cs="Calibri"/>
        </w:rPr>
        <w:t xml:space="preserve"> ha mostrado disposición para avanzar en ambos proyectos, considerando que tanto SQM como </w:t>
      </w:r>
      <w:proofErr w:type="spellStart"/>
      <w:r w:rsidRPr="00E812D7">
        <w:rPr>
          <w:rFonts w:ascii="Calibri" w:eastAsia="Calibri" w:hAnsi="Calibri" w:cs="Calibri"/>
        </w:rPr>
        <w:t>Grenergy</w:t>
      </w:r>
      <w:proofErr w:type="spellEnd"/>
      <w:r w:rsidRPr="00E812D7">
        <w:rPr>
          <w:rFonts w:ascii="Calibri" w:eastAsia="Calibri" w:hAnsi="Calibri" w:cs="Calibri"/>
        </w:rPr>
        <w:t xml:space="preserve"> incurrirán en la inversión de manera equitativa para llevar a cabo las modificaciones necesarias. Ambas empresas colaborarán en los costos asociados al proceso de modificación relevante, lo cual incluye la ampliación y adecuación de la infraestructura de transmisión eléctrica en la subestación Lagunas.</w:t>
      </w:r>
    </w:p>
    <w:p w14:paraId="0A2F854E" w14:textId="1086DC9F" w:rsidR="008814C5" w:rsidRPr="008814C5" w:rsidRDefault="008814C5" w:rsidP="008814C5">
      <w:pPr>
        <w:spacing w:before="240"/>
        <w:jc w:val="both"/>
        <w:rPr>
          <w:rFonts w:ascii="Calibri" w:eastAsia="Calibri" w:hAnsi="Calibri" w:cs="Calibri"/>
        </w:rPr>
      </w:pPr>
      <w:r w:rsidRPr="008814C5">
        <w:rPr>
          <w:rFonts w:ascii="Calibri" w:eastAsia="Calibri" w:hAnsi="Calibri" w:cs="Calibri"/>
        </w:rPr>
        <w:t>Dado que la</w:t>
      </w:r>
      <w:r w:rsidR="00E812D7">
        <w:rPr>
          <w:rFonts w:ascii="Calibri" w:eastAsia="Calibri" w:hAnsi="Calibri" w:cs="Calibri"/>
        </w:rPr>
        <w:t xml:space="preserve"> tramitación del proceso de conexión y </w:t>
      </w:r>
      <w:r w:rsidRPr="008814C5">
        <w:rPr>
          <w:rFonts w:ascii="Calibri" w:eastAsia="Calibri" w:hAnsi="Calibri" w:cs="Calibri"/>
        </w:rPr>
        <w:t xml:space="preserve">ejecución de las modificaciones </w:t>
      </w:r>
      <w:r w:rsidR="00E812D7">
        <w:rPr>
          <w:rFonts w:ascii="Calibri" w:eastAsia="Calibri" w:hAnsi="Calibri" w:cs="Calibri"/>
        </w:rPr>
        <w:t xml:space="preserve">de </w:t>
      </w:r>
      <w:r w:rsidRPr="008814C5">
        <w:rPr>
          <w:rFonts w:ascii="Calibri" w:eastAsia="Calibri" w:hAnsi="Calibri" w:cs="Calibri"/>
        </w:rPr>
        <w:t>Lagunas 23 kV tomará al menos 8 meses, se estima que la puesta en servicio del proyecto de SQM se postergará hasta finales de 2025. Para poder avanzar de manera efectiva, será necesario actualizar el cronograma del proyecto y revisar la información técnica, con el objetivo de asegurar que no se presenten más interrupciones en el proceso de conexión.</w:t>
      </w:r>
    </w:p>
    <w:p w14:paraId="23C33E2F" w14:textId="303A0B0D" w:rsidR="00FE71F6" w:rsidRDefault="0029133B" w:rsidP="0029133B">
      <w:pPr>
        <w:spacing w:before="240"/>
        <w:jc w:val="both"/>
        <w:rPr>
          <w:rFonts w:ascii="Calibri" w:eastAsia="Calibri" w:hAnsi="Calibri" w:cs="Calibri"/>
        </w:rPr>
      </w:pPr>
      <w:r w:rsidRPr="0029133B">
        <w:rPr>
          <w:rFonts w:ascii="Calibri" w:eastAsia="Calibri" w:hAnsi="Calibri" w:cs="Calibri"/>
        </w:rPr>
        <w:t xml:space="preserve">El compromiso de SQM es continuar avanzando en la carga de información técnica, estudios de conexión y otros antecedentes relevantes en la Plataforma de Gestión de Proyectos (PGP), lo cual permitirá solicitar la revisión final del proyecto a finales de noviembre y asegurar que el proceso de conexión continúe sin mayores obstáculos. Con el esfuerzo conjunto de todas las partes involucradas, SQM estima que la puesta en servicio se llevará a cabo hacia finales de 2025, con la entrada en operación proyectada para principios de 2026. No obstante, esta fecha deberá ser actualizada tanto ante el Coordinador Eléctrico Nacional como ante la Comisión Nacional de Energía, </w:t>
      </w:r>
      <w:r w:rsidR="00BA2CD5">
        <w:rPr>
          <w:rFonts w:ascii="Calibri" w:eastAsia="Calibri" w:hAnsi="Calibri" w:cs="Calibri"/>
        </w:rPr>
        <w:t>para resguarda el adecuado seguimiento del proceso de conexión.</w:t>
      </w:r>
    </w:p>
    <w:sectPr w:rsidR="00FE71F6" w:rsidSect="00874CFA">
      <w:headerReference w:type="default" r:id="rId19"/>
      <w:footerReference w:type="default" r:id="rId20"/>
      <w:headerReference w:type="first" r:id="rId21"/>
      <w:footerReference w:type="first" r:id="rId22"/>
      <w:pgSz w:w="12240" w:h="15840" w:code="1"/>
      <w:pgMar w:top="720" w:right="720"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CE1E9" w14:textId="77777777" w:rsidR="007674BF" w:rsidRDefault="007674BF" w:rsidP="00A01DCF">
      <w:pPr>
        <w:spacing w:after="0" w:line="240" w:lineRule="auto"/>
      </w:pPr>
      <w:r>
        <w:separator/>
      </w:r>
    </w:p>
  </w:endnote>
  <w:endnote w:type="continuationSeparator" w:id="0">
    <w:p w14:paraId="14360CA9" w14:textId="77777777" w:rsidR="007674BF" w:rsidRDefault="007674BF" w:rsidP="00A01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11FF5" w14:textId="77777777" w:rsidR="007108EA" w:rsidRDefault="007108EA" w:rsidP="00584A6C">
    <w:pPr>
      <w:pStyle w:val="Piedepgina"/>
      <w:tabs>
        <w:tab w:val="right" w:pos="2225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66DB5" w14:textId="77777777" w:rsidR="007108EA" w:rsidRDefault="007108EA" w:rsidP="0048386B">
    <w:pPr>
      <w:pStyle w:val="Piedepgina"/>
      <w:pBdr>
        <w:bottom w:val="single" w:sz="6" w:space="1" w:color="auto"/>
      </w:pBdr>
      <w:jc w:val="center"/>
    </w:pPr>
  </w:p>
  <w:p w14:paraId="467B68C8" w14:textId="77777777" w:rsidR="007108EA" w:rsidRDefault="007108EA" w:rsidP="0048386B">
    <w:pPr>
      <w:pStyle w:val="Piedepgina"/>
      <w:tabs>
        <w:tab w:val="right" w:pos="22255"/>
      </w:tabs>
    </w:pPr>
    <w:r>
      <w:t xml:space="preserve">Departamento de Estudios Eléctricos                                                                                     </w:t>
    </w:r>
    <w:r>
      <w:tab/>
      <w:t xml:space="preserve"> Multical Ingeniería y Soluciones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04955" w14:textId="77777777" w:rsidR="007108EA" w:rsidRPr="00FE5F44" w:rsidRDefault="007108EA" w:rsidP="00C57EDD">
    <w:pPr>
      <w:pStyle w:val="Piedepgina"/>
      <w:pBdr>
        <w:bottom w:val="single" w:sz="6" w:space="1" w:color="auto"/>
      </w:pBdr>
      <w:jc w:val="center"/>
      <w:rPr>
        <w:sz w:val="10"/>
      </w:rPr>
    </w:pPr>
  </w:p>
  <w:p w14:paraId="136A06E4" w14:textId="741C1547" w:rsidR="007108EA" w:rsidRDefault="007108EA" w:rsidP="00584A6C">
    <w:pPr>
      <w:pStyle w:val="Piedepgina"/>
      <w:tabs>
        <w:tab w:val="right" w:pos="22255"/>
      </w:tabs>
    </w:pPr>
    <w:r>
      <w:t xml:space="preserve">Departamento de Estudios Eléctricos                                                                                     </w:t>
    </w:r>
    <w:r>
      <w:tab/>
      <w:t xml:space="preserve"> Multical Ingeniería y Soluciones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7115" w14:textId="77777777" w:rsidR="007108EA" w:rsidRDefault="007108EA" w:rsidP="0048386B">
    <w:pPr>
      <w:pStyle w:val="Piedepgina"/>
      <w:pBdr>
        <w:bottom w:val="single" w:sz="6" w:space="1" w:color="auto"/>
      </w:pBdr>
      <w:jc w:val="center"/>
    </w:pPr>
  </w:p>
  <w:p w14:paraId="63730054" w14:textId="2498A7B7" w:rsidR="007108EA" w:rsidRDefault="007108EA" w:rsidP="0048386B">
    <w:pPr>
      <w:pStyle w:val="Piedepgina"/>
      <w:tabs>
        <w:tab w:val="right" w:pos="22255"/>
      </w:tabs>
    </w:pPr>
    <w:r>
      <w:t xml:space="preserve">Departamento de Estudios Eléctricos                                                                                     </w:t>
    </w:r>
    <w:r>
      <w:tab/>
      <w:t xml:space="preserve"> Multical Ingeniería y Soluciones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A4EBD" w14:textId="77777777" w:rsidR="007674BF" w:rsidRDefault="007674BF" w:rsidP="00A01DCF">
      <w:pPr>
        <w:spacing w:after="0" w:line="240" w:lineRule="auto"/>
      </w:pPr>
      <w:r>
        <w:separator/>
      </w:r>
    </w:p>
  </w:footnote>
  <w:footnote w:type="continuationSeparator" w:id="0">
    <w:p w14:paraId="4EA17B5A" w14:textId="77777777" w:rsidR="007674BF" w:rsidRDefault="007674BF" w:rsidP="00A01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811"/>
      <w:gridCol w:w="1701"/>
      <w:gridCol w:w="1865"/>
    </w:tblGrid>
    <w:tr w:rsidR="007108EA" w:rsidRPr="00122D5E" w14:paraId="79B372C3" w14:textId="77777777" w:rsidTr="00C436E2">
      <w:trPr>
        <w:trHeight w:val="412"/>
        <w:jc w:val="center"/>
      </w:trPr>
      <w:tc>
        <w:tcPr>
          <w:tcW w:w="655" w:type="pct"/>
          <w:vMerge w:val="restart"/>
          <w:vAlign w:val="center"/>
        </w:tcPr>
        <w:p w14:paraId="6A96A829" w14:textId="77777777" w:rsidR="007108EA" w:rsidRPr="0000048E" w:rsidRDefault="007108EA" w:rsidP="0048386B">
          <w:pPr>
            <w:pStyle w:val="Encabezado"/>
            <w:jc w:val="center"/>
            <w:rPr>
              <w:rFonts w:eastAsiaTheme="minorEastAsia"/>
            </w:rPr>
          </w:pPr>
          <w:r>
            <w:rPr>
              <w:rFonts w:cstheme="minorHAnsi"/>
              <w:b/>
              <w:noProof/>
              <w:sz w:val="24"/>
              <w:szCs w:val="20"/>
              <w:lang w:eastAsia="es-CL"/>
            </w:rPr>
            <w:drawing>
              <wp:inline distT="0" distB="0" distL="0" distR="0" wp14:anchorId="0B42F35F" wp14:editId="227F39B9">
                <wp:extent cx="609600" cy="642551"/>
                <wp:effectExtent l="0" t="0" r="0" b="5715"/>
                <wp:docPr id="25" name="Imagen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201" cy="651617"/>
                        </a:xfrm>
                        <a:prstGeom prst="rect">
                          <a:avLst/>
                        </a:prstGeom>
                        <a:noFill/>
                        <a:ln>
                          <a:noFill/>
                        </a:ln>
                      </pic:spPr>
                    </pic:pic>
                  </a:graphicData>
                </a:graphic>
              </wp:inline>
            </w:drawing>
          </w:r>
        </w:p>
      </w:tc>
      <w:tc>
        <w:tcPr>
          <w:tcW w:w="2693" w:type="pct"/>
          <w:vMerge w:val="restart"/>
          <w:vAlign w:val="center"/>
        </w:tcPr>
        <w:p w14:paraId="30BE0EAD" w14:textId="77777777" w:rsidR="007108EA" w:rsidRDefault="007108EA" w:rsidP="0048386B">
          <w:pPr>
            <w:pStyle w:val="Encabezado"/>
            <w:jc w:val="center"/>
            <w:rPr>
              <w:rFonts w:eastAsiaTheme="minorEastAsia"/>
              <w:b/>
              <w:sz w:val="28"/>
              <w:szCs w:val="28"/>
            </w:rPr>
          </w:pPr>
          <w:r>
            <w:rPr>
              <w:rFonts w:eastAsiaTheme="minorEastAsia"/>
              <w:b/>
              <w:sz w:val="28"/>
              <w:szCs w:val="28"/>
            </w:rPr>
            <w:t xml:space="preserve">ECAP SQM </w:t>
          </w:r>
        </w:p>
        <w:p w14:paraId="0645DE44" w14:textId="77777777" w:rsidR="007108EA" w:rsidRPr="0000048E" w:rsidRDefault="007108EA" w:rsidP="0048386B">
          <w:pPr>
            <w:pStyle w:val="Encabezado"/>
            <w:jc w:val="center"/>
            <w:rPr>
              <w:rFonts w:eastAsiaTheme="minorEastAsia"/>
              <w:b/>
              <w:sz w:val="28"/>
              <w:szCs w:val="28"/>
            </w:rPr>
          </w:pPr>
          <w:r>
            <w:rPr>
              <w:rFonts w:eastAsiaTheme="minorEastAsia"/>
              <w:b/>
              <w:sz w:val="28"/>
              <w:szCs w:val="28"/>
            </w:rPr>
            <w:t>NUEVA VICTORIA / LLAMARA/ SUR VIEJO</w:t>
          </w:r>
        </w:p>
      </w:tc>
      <w:tc>
        <w:tcPr>
          <w:tcW w:w="1652" w:type="pct"/>
          <w:gridSpan w:val="2"/>
          <w:vAlign w:val="center"/>
        </w:tcPr>
        <w:p w14:paraId="416C7AE5" w14:textId="77777777" w:rsidR="007108EA" w:rsidRPr="0000048E" w:rsidRDefault="007108EA" w:rsidP="0048386B">
          <w:pPr>
            <w:pStyle w:val="Encabezado"/>
            <w:jc w:val="center"/>
            <w:rPr>
              <w:rFonts w:eastAsiaTheme="minorEastAsia"/>
              <w:b/>
            </w:rPr>
          </w:pPr>
          <w:r>
            <w:rPr>
              <w:rFonts w:eastAsiaTheme="minorEastAsia"/>
              <w:b/>
            </w:rPr>
            <w:t>INCORPORACIÓN DE RECONECTADORES DE SUR VIEJO</w:t>
          </w:r>
        </w:p>
      </w:tc>
    </w:tr>
    <w:tr w:rsidR="007108EA" w:rsidRPr="00F757AF" w14:paraId="7A61A26F" w14:textId="77777777" w:rsidTr="00C436E2">
      <w:trPr>
        <w:trHeight w:val="412"/>
        <w:jc w:val="center"/>
      </w:trPr>
      <w:tc>
        <w:tcPr>
          <w:tcW w:w="655" w:type="pct"/>
          <w:vMerge/>
        </w:tcPr>
        <w:p w14:paraId="74469F4B" w14:textId="77777777" w:rsidR="007108EA" w:rsidRPr="0000048E" w:rsidRDefault="007108EA" w:rsidP="0048386B">
          <w:pPr>
            <w:pStyle w:val="Encabezado"/>
            <w:rPr>
              <w:rFonts w:eastAsiaTheme="minorEastAsia"/>
            </w:rPr>
          </w:pPr>
        </w:p>
      </w:tc>
      <w:tc>
        <w:tcPr>
          <w:tcW w:w="2693" w:type="pct"/>
          <w:vMerge/>
        </w:tcPr>
        <w:p w14:paraId="5459F535" w14:textId="77777777" w:rsidR="007108EA" w:rsidRPr="0000048E" w:rsidRDefault="007108EA" w:rsidP="0048386B">
          <w:pPr>
            <w:pStyle w:val="Encabezado"/>
            <w:rPr>
              <w:rFonts w:eastAsiaTheme="minorEastAsia"/>
            </w:rPr>
          </w:pPr>
        </w:p>
      </w:tc>
      <w:tc>
        <w:tcPr>
          <w:tcW w:w="1652" w:type="pct"/>
          <w:gridSpan w:val="2"/>
          <w:vAlign w:val="center"/>
        </w:tcPr>
        <w:p w14:paraId="1A20E0ED" w14:textId="77777777" w:rsidR="007108EA" w:rsidRPr="00F757AF" w:rsidRDefault="007108EA" w:rsidP="0048386B">
          <w:pPr>
            <w:pStyle w:val="Encabezado"/>
            <w:jc w:val="center"/>
            <w:rPr>
              <w:rFonts w:eastAsiaTheme="minorEastAsia"/>
              <w:b/>
              <w:highlight w:val="yellow"/>
              <w:lang w:val="en-US"/>
            </w:rPr>
          </w:pPr>
          <w:r>
            <w:rPr>
              <w:rFonts w:eastAsiaTheme="minorEastAsia"/>
              <w:b/>
              <w:lang w:val="en-US"/>
            </w:rPr>
            <w:t>2611</w:t>
          </w:r>
          <w:r w:rsidRPr="00F757AF">
            <w:rPr>
              <w:rFonts w:eastAsiaTheme="minorEastAsia"/>
              <w:b/>
              <w:lang w:val="en-US"/>
            </w:rPr>
            <w:t>-MTC-</w:t>
          </w:r>
          <w:r>
            <w:rPr>
              <w:rFonts w:eastAsiaTheme="minorEastAsia"/>
              <w:b/>
              <w:lang w:val="en-US"/>
            </w:rPr>
            <w:t>ET</w:t>
          </w:r>
          <w:r w:rsidRPr="00F757AF">
            <w:rPr>
              <w:rFonts w:eastAsiaTheme="minorEastAsia"/>
              <w:b/>
              <w:lang w:val="en-US"/>
            </w:rPr>
            <w:t>-</w:t>
          </w:r>
          <w:r>
            <w:rPr>
              <w:rFonts w:eastAsiaTheme="minorEastAsia"/>
              <w:b/>
              <w:lang w:val="en-US"/>
            </w:rPr>
            <w:t>ELE</w:t>
          </w:r>
          <w:r w:rsidRPr="00F757AF">
            <w:rPr>
              <w:rFonts w:eastAsiaTheme="minorEastAsia"/>
              <w:b/>
              <w:lang w:val="en-US"/>
            </w:rPr>
            <w:t>-</w:t>
          </w:r>
          <w:r>
            <w:rPr>
              <w:rFonts w:eastAsiaTheme="minorEastAsia"/>
              <w:b/>
              <w:lang w:val="en-US"/>
            </w:rPr>
            <w:t>INF</w:t>
          </w:r>
          <w:r w:rsidRPr="00F757AF">
            <w:rPr>
              <w:rFonts w:eastAsiaTheme="minorEastAsia"/>
              <w:b/>
              <w:lang w:val="en-US"/>
            </w:rPr>
            <w:t>-</w:t>
          </w:r>
          <w:r>
            <w:rPr>
              <w:rFonts w:eastAsiaTheme="minorEastAsia"/>
              <w:b/>
              <w:lang w:val="en-US"/>
            </w:rPr>
            <w:t>0001</w:t>
          </w:r>
        </w:p>
      </w:tc>
    </w:tr>
    <w:tr w:rsidR="007108EA" w:rsidRPr="00122D5E" w14:paraId="332771BB" w14:textId="77777777" w:rsidTr="00C436E2">
      <w:trPr>
        <w:trHeight w:val="412"/>
        <w:jc w:val="center"/>
      </w:trPr>
      <w:tc>
        <w:tcPr>
          <w:tcW w:w="655" w:type="pct"/>
          <w:vMerge/>
        </w:tcPr>
        <w:p w14:paraId="0EA18153" w14:textId="77777777" w:rsidR="007108EA" w:rsidRPr="00F757AF" w:rsidRDefault="007108EA" w:rsidP="0048386B">
          <w:pPr>
            <w:pStyle w:val="Encabezado"/>
            <w:rPr>
              <w:rFonts w:eastAsiaTheme="minorEastAsia"/>
              <w:lang w:val="en-US"/>
            </w:rPr>
          </w:pPr>
        </w:p>
      </w:tc>
      <w:tc>
        <w:tcPr>
          <w:tcW w:w="2693" w:type="pct"/>
          <w:vMerge/>
        </w:tcPr>
        <w:p w14:paraId="64EB1083" w14:textId="77777777" w:rsidR="007108EA" w:rsidRPr="00F757AF" w:rsidRDefault="007108EA" w:rsidP="0048386B">
          <w:pPr>
            <w:pStyle w:val="Encabezado"/>
            <w:rPr>
              <w:rFonts w:eastAsiaTheme="minorEastAsia"/>
              <w:lang w:val="en-US"/>
            </w:rPr>
          </w:pPr>
        </w:p>
      </w:tc>
      <w:tc>
        <w:tcPr>
          <w:tcW w:w="788" w:type="pct"/>
          <w:vAlign w:val="center"/>
        </w:tcPr>
        <w:p w14:paraId="28E556BF" w14:textId="77777777" w:rsidR="007108EA" w:rsidRPr="0000048E" w:rsidRDefault="007108EA" w:rsidP="0048386B">
          <w:pPr>
            <w:pStyle w:val="Encabezado"/>
            <w:jc w:val="center"/>
            <w:rPr>
              <w:rFonts w:eastAsiaTheme="minorEastAsia"/>
              <w:b/>
            </w:rPr>
          </w:pPr>
          <w:r>
            <w:rPr>
              <w:rFonts w:eastAsiaTheme="minorEastAsia"/>
              <w:b/>
            </w:rPr>
            <w:t>Rev. B</w:t>
          </w:r>
        </w:p>
      </w:tc>
      <w:tc>
        <w:tcPr>
          <w:tcW w:w="864" w:type="pct"/>
          <w:vAlign w:val="center"/>
        </w:tcPr>
        <w:p w14:paraId="013D991C" w14:textId="77777777" w:rsidR="007108EA" w:rsidRPr="0000048E" w:rsidRDefault="007108EA" w:rsidP="0048386B">
          <w:pPr>
            <w:spacing w:after="0"/>
            <w:jc w:val="center"/>
            <w:rPr>
              <w:rFonts w:eastAsiaTheme="minorEastAsia"/>
              <w:b/>
              <w:lang w:val="es-ES"/>
            </w:rPr>
          </w:pPr>
          <w:r w:rsidRPr="003630C0">
            <w:rPr>
              <w:rFonts w:eastAsiaTheme="minorEastAsia"/>
              <w:b/>
              <w:lang w:val="es-ES"/>
            </w:rPr>
            <w:t xml:space="preserve">Página </w:t>
          </w:r>
          <w:r w:rsidRPr="003630C0">
            <w:rPr>
              <w:rFonts w:eastAsiaTheme="minorEastAsia"/>
              <w:b/>
              <w:bCs/>
              <w:lang w:val="es-ES"/>
            </w:rPr>
            <w:fldChar w:fldCharType="begin"/>
          </w:r>
          <w:r w:rsidRPr="003630C0">
            <w:rPr>
              <w:rFonts w:eastAsiaTheme="minorEastAsia"/>
              <w:b/>
              <w:bCs/>
              <w:lang w:val="es-ES"/>
            </w:rPr>
            <w:instrText>PAGE  \* Arabic  \* MERGEFORMAT</w:instrText>
          </w:r>
          <w:r w:rsidRPr="003630C0">
            <w:rPr>
              <w:rFonts w:eastAsiaTheme="minorEastAsia"/>
              <w:b/>
              <w:bCs/>
              <w:lang w:val="es-ES"/>
            </w:rPr>
            <w:fldChar w:fldCharType="separate"/>
          </w:r>
          <w:r w:rsidRPr="003630C0">
            <w:rPr>
              <w:rFonts w:eastAsiaTheme="minorEastAsia"/>
              <w:b/>
              <w:bCs/>
              <w:lang w:val="es-ES"/>
            </w:rPr>
            <w:t>1</w:t>
          </w:r>
          <w:r w:rsidRPr="003630C0">
            <w:rPr>
              <w:rFonts w:eastAsiaTheme="minorEastAsia"/>
              <w:b/>
              <w:bCs/>
              <w:lang w:val="es-ES"/>
            </w:rPr>
            <w:fldChar w:fldCharType="end"/>
          </w:r>
          <w:r w:rsidRPr="003630C0">
            <w:rPr>
              <w:rFonts w:eastAsiaTheme="minorEastAsia"/>
              <w:b/>
              <w:lang w:val="es-ES"/>
            </w:rPr>
            <w:t xml:space="preserve"> de </w:t>
          </w:r>
          <w:r w:rsidRPr="003630C0">
            <w:rPr>
              <w:rFonts w:eastAsiaTheme="minorEastAsia"/>
              <w:b/>
              <w:bCs/>
              <w:lang w:val="es-ES"/>
            </w:rPr>
            <w:fldChar w:fldCharType="begin"/>
          </w:r>
          <w:r w:rsidRPr="003630C0">
            <w:rPr>
              <w:rFonts w:eastAsiaTheme="minorEastAsia"/>
              <w:b/>
              <w:bCs/>
              <w:lang w:val="es-ES"/>
            </w:rPr>
            <w:instrText>NUMPAGES  \* Arabic  \* MERGEFORMAT</w:instrText>
          </w:r>
          <w:r w:rsidRPr="003630C0">
            <w:rPr>
              <w:rFonts w:eastAsiaTheme="minorEastAsia"/>
              <w:b/>
              <w:bCs/>
              <w:lang w:val="es-ES"/>
            </w:rPr>
            <w:fldChar w:fldCharType="separate"/>
          </w:r>
          <w:r w:rsidR="00867778">
            <w:rPr>
              <w:rFonts w:eastAsiaTheme="minorEastAsia"/>
              <w:b/>
              <w:bCs/>
              <w:noProof/>
              <w:lang w:val="es-ES"/>
            </w:rPr>
            <w:t>43</w:t>
          </w:r>
          <w:r w:rsidRPr="003630C0">
            <w:rPr>
              <w:rFonts w:eastAsiaTheme="minorEastAsia"/>
              <w:b/>
              <w:bCs/>
              <w:lang w:val="es-ES"/>
            </w:rPr>
            <w:fldChar w:fldCharType="end"/>
          </w:r>
        </w:p>
      </w:tc>
    </w:tr>
  </w:tbl>
  <w:p w14:paraId="3CDD0E96" w14:textId="77777777" w:rsidR="007108EA" w:rsidRDefault="007108E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811"/>
      <w:gridCol w:w="1701"/>
      <w:gridCol w:w="1865"/>
    </w:tblGrid>
    <w:tr w:rsidR="007108EA" w:rsidRPr="00122D5E" w14:paraId="07801248" w14:textId="77777777" w:rsidTr="001B3F15">
      <w:trPr>
        <w:trHeight w:val="412"/>
        <w:jc w:val="center"/>
      </w:trPr>
      <w:tc>
        <w:tcPr>
          <w:tcW w:w="655" w:type="pct"/>
          <w:vMerge w:val="restart"/>
          <w:vAlign w:val="center"/>
        </w:tcPr>
        <w:p w14:paraId="6F693A03" w14:textId="77777777" w:rsidR="007108EA" w:rsidRPr="0000048E" w:rsidRDefault="007108EA" w:rsidP="006515CD">
          <w:pPr>
            <w:pStyle w:val="Encabezado"/>
            <w:jc w:val="center"/>
            <w:rPr>
              <w:rFonts w:eastAsiaTheme="minorEastAsia"/>
            </w:rPr>
          </w:pPr>
          <w:r>
            <w:rPr>
              <w:rFonts w:cstheme="minorHAnsi"/>
              <w:b/>
              <w:noProof/>
              <w:sz w:val="24"/>
              <w:szCs w:val="20"/>
              <w:lang w:eastAsia="es-CL"/>
            </w:rPr>
            <w:drawing>
              <wp:inline distT="0" distB="0" distL="0" distR="0" wp14:anchorId="7CECEF51" wp14:editId="28A5F641">
                <wp:extent cx="609600" cy="642551"/>
                <wp:effectExtent l="0" t="0" r="0" b="5715"/>
                <wp:docPr id="1270386871" name="Imagen 12703868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201" cy="651617"/>
                        </a:xfrm>
                        <a:prstGeom prst="rect">
                          <a:avLst/>
                        </a:prstGeom>
                        <a:noFill/>
                        <a:ln>
                          <a:noFill/>
                        </a:ln>
                      </pic:spPr>
                    </pic:pic>
                  </a:graphicData>
                </a:graphic>
              </wp:inline>
            </w:drawing>
          </w:r>
        </w:p>
      </w:tc>
      <w:tc>
        <w:tcPr>
          <w:tcW w:w="2693" w:type="pct"/>
          <w:vMerge w:val="restart"/>
          <w:vAlign w:val="center"/>
        </w:tcPr>
        <w:p w14:paraId="58F499F2" w14:textId="77777777" w:rsidR="0075343A" w:rsidRPr="0075343A" w:rsidRDefault="002553EC" w:rsidP="0075343A">
          <w:pPr>
            <w:pStyle w:val="Encabezado"/>
            <w:jc w:val="center"/>
            <w:rPr>
              <w:rFonts w:eastAsiaTheme="minorEastAsia"/>
              <w:b/>
              <w:sz w:val="28"/>
              <w:szCs w:val="28"/>
            </w:rPr>
          </w:pPr>
          <w:r>
            <w:rPr>
              <w:rFonts w:eastAsiaTheme="minorEastAsia"/>
              <w:b/>
              <w:sz w:val="28"/>
              <w:szCs w:val="28"/>
            </w:rPr>
            <w:t xml:space="preserve">INFORME </w:t>
          </w:r>
          <w:r w:rsidR="007B3E85">
            <w:rPr>
              <w:rFonts w:eastAsiaTheme="minorEastAsia"/>
              <w:b/>
              <w:sz w:val="28"/>
              <w:szCs w:val="28"/>
            </w:rPr>
            <w:t>JUSTIFICATIVO</w:t>
          </w:r>
          <w:r>
            <w:rPr>
              <w:rFonts w:eastAsiaTheme="minorEastAsia"/>
              <w:b/>
              <w:sz w:val="28"/>
              <w:szCs w:val="28"/>
            </w:rPr>
            <w:t xml:space="preserve"> DE PROYECTO </w:t>
          </w:r>
          <w:r w:rsidR="0075343A" w:rsidRPr="0075343A">
            <w:rPr>
              <w:rFonts w:eastAsiaTheme="minorEastAsia"/>
              <w:b/>
              <w:sz w:val="28"/>
              <w:szCs w:val="28"/>
            </w:rPr>
            <w:t xml:space="preserve">AUMENTO DE POTENCIA CONSUMO TEA </w:t>
          </w:r>
        </w:p>
        <w:p w14:paraId="5D2CE39D" w14:textId="3AC2ABA3" w:rsidR="007108EA" w:rsidRPr="0000048E" w:rsidRDefault="0075343A" w:rsidP="0075343A">
          <w:pPr>
            <w:pStyle w:val="Encabezado"/>
            <w:jc w:val="center"/>
            <w:rPr>
              <w:rFonts w:eastAsiaTheme="minorEastAsia"/>
              <w:b/>
              <w:sz w:val="28"/>
              <w:szCs w:val="28"/>
            </w:rPr>
          </w:pPr>
          <w:r w:rsidRPr="0075343A">
            <w:rPr>
              <w:rFonts w:eastAsiaTheme="minorEastAsia"/>
              <w:b/>
              <w:sz w:val="28"/>
              <w:szCs w:val="28"/>
            </w:rPr>
            <w:t>S/E LAGUNAS (10 MW) (NUP 3703)</w:t>
          </w:r>
        </w:p>
      </w:tc>
      <w:tc>
        <w:tcPr>
          <w:tcW w:w="1652" w:type="pct"/>
          <w:gridSpan w:val="2"/>
          <w:vAlign w:val="center"/>
        </w:tcPr>
        <w:p w14:paraId="1E24DEB2" w14:textId="0BF66E2D" w:rsidR="007108EA" w:rsidRPr="0000048E" w:rsidRDefault="00701121" w:rsidP="006515CD">
          <w:pPr>
            <w:pStyle w:val="Encabezado"/>
            <w:jc w:val="center"/>
            <w:rPr>
              <w:rFonts w:eastAsiaTheme="minorEastAsia"/>
              <w:b/>
            </w:rPr>
          </w:pPr>
          <w:r>
            <w:rPr>
              <w:rFonts w:eastAsiaTheme="minorEastAsia"/>
              <w:b/>
            </w:rPr>
            <w:t>LAGUNAS TEA SQM</w:t>
          </w:r>
        </w:p>
      </w:tc>
    </w:tr>
    <w:tr w:rsidR="007108EA" w:rsidRPr="00F757AF" w14:paraId="2A9A17DE" w14:textId="77777777" w:rsidTr="001B3F15">
      <w:trPr>
        <w:trHeight w:val="412"/>
        <w:jc w:val="center"/>
      </w:trPr>
      <w:tc>
        <w:tcPr>
          <w:tcW w:w="655" w:type="pct"/>
          <w:vMerge/>
        </w:tcPr>
        <w:p w14:paraId="574A0FCC" w14:textId="77777777" w:rsidR="007108EA" w:rsidRPr="0000048E" w:rsidRDefault="007108EA" w:rsidP="006515CD">
          <w:pPr>
            <w:pStyle w:val="Encabezado"/>
            <w:rPr>
              <w:rFonts w:eastAsiaTheme="minorEastAsia"/>
            </w:rPr>
          </w:pPr>
        </w:p>
      </w:tc>
      <w:tc>
        <w:tcPr>
          <w:tcW w:w="2693" w:type="pct"/>
          <w:vMerge/>
        </w:tcPr>
        <w:p w14:paraId="4F4CF56D" w14:textId="77777777" w:rsidR="007108EA" w:rsidRPr="0000048E" w:rsidRDefault="007108EA" w:rsidP="006515CD">
          <w:pPr>
            <w:pStyle w:val="Encabezado"/>
            <w:rPr>
              <w:rFonts w:eastAsiaTheme="minorEastAsia"/>
            </w:rPr>
          </w:pPr>
        </w:p>
      </w:tc>
      <w:tc>
        <w:tcPr>
          <w:tcW w:w="1652" w:type="pct"/>
          <w:gridSpan w:val="2"/>
          <w:vAlign w:val="center"/>
        </w:tcPr>
        <w:p w14:paraId="56703B26" w14:textId="43249298" w:rsidR="007108EA" w:rsidRPr="00F757AF" w:rsidRDefault="002553EC" w:rsidP="006515CD">
          <w:pPr>
            <w:pStyle w:val="Encabezado"/>
            <w:jc w:val="center"/>
            <w:rPr>
              <w:rFonts w:eastAsiaTheme="minorEastAsia"/>
              <w:b/>
              <w:highlight w:val="yellow"/>
              <w:lang w:val="en-US"/>
            </w:rPr>
          </w:pPr>
          <w:r w:rsidRPr="00701121">
            <w:rPr>
              <w:rFonts w:eastAsiaTheme="minorEastAsia"/>
              <w:b/>
              <w:lang w:val="en-US"/>
            </w:rPr>
            <w:t>I0562-123140-</w:t>
          </w:r>
          <w:r>
            <w:rPr>
              <w:rFonts w:eastAsiaTheme="minorEastAsia"/>
              <w:b/>
              <w:lang w:val="en-US"/>
            </w:rPr>
            <w:t>IT</w:t>
          </w:r>
          <w:r w:rsidRPr="00701121">
            <w:rPr>
              <w:rFonts w:eastAsiaTheme="minorEastAsia"/>
              <w:b/>
              <w:lang w:val="en-US"/>
            </w:rPr>
            <w:t>-600-00</w:t>
          </w:r>
          <w:r w:rsidR="007B3E85">
            <w:rPr>
              <w:rFonts w:eastAsiaTheme="minorEastAsia"/>
              <w:b/>
              <w:lang w:val="en-US"/>
            </w:rPr>
            <w:t>2</w:t>
          </w:r>
        </w:p>
      </w:tc>
    </w:tr>
    <w:tr w:rsidR="007108EA" w:rsidRPr="00122D5E" w14:paraId="5D308329" w14:textId="77777777" w:rsidTr="001B3F15">
      <w:trPr>
        <w:trHeight w:val="412"/>
        <w:jc w:val="center"/>
      </w:trPr>
      <w:tc>
        <w:tcPr>
          <w:tcW w:w="655" w:type="pct"/>
          <w:vMerge/>
        </w:tcPr>
        <w:p w14:paraId="74926B2C" w14:textId="77777777" w:rsidR="007108EA" w:rsidRPr="00F757AF" w:rsidRDefault="007108EA" w:rsidP="006515CD">
          <w:pPr>
            <w:pStyle w:val="Encabezado"/>
            <w:rPr>
              <w:rFonts w:eastAsiaTheme="minorEastAsia"/>
              <w:lang w:val="en-US"/>
            </w:rPr>
          </w:pPr>
        </w:p>
      </w:tc>
      <w:tc>
        <w:tcPr>
          <w:tcW w:w="2693" w:type="pct"/>
          <w:vMerge/>
        </w:tcPr>
        <w:p w14:paraId="30267AC9" w14:textId="77777777" w:rsidR="007108EA" w:rsidRPr="00F757AF" w:rsidRDefault="007108EA" w:rsidP="006515CD">
          <w:pPr>
            <w:pStyle w:val="Encabezado"/>
            <w:rPr>
              <w:rFonts w:eastAsiaTheme="minorEastAsia"/>
              <w:lang w:val="en-US"/>
            </w:rPr>
          </w:pPr>
        </w:p>
      </w:tc>
      <w:tc>
        <w:tcPr>
          <w:tcW w:w="788" w:type="pct"/>
          <w:vAlign w:val="center"/>
        </w:tcPr>
        <w:p w14:paraId="4F4137FA" w14:textId="690D9199" w:rsidR="007108EA" w:rsidRPr="0000048E" w:rsidRDefault="00701121" w:rsidP="00A3532F">
          <w:pPr>
            <w:pStyle w:val="Encabezado"/>
            <w:jc w:val="center"/>
            <w:rPr>
              <w:rFonts w:eastAsiaTheme="minorEastAsia"/>
              <w:b/>
            </w:rPr>
          </w:pPr>
          <w:r>
            <w:rPr>
              <w:rFonts w:eastAsiaTheme="minorEastAsia"/>
              <w:b/>
            </w:rPr>
            <w:t xml:space="preserve">Rev. </w:t>
          </w:r>
          <w:r w:rsidR="007B3E85">
            <w:rPr>
              <w:rFonts w:eastAsiaTheme="minorEastAsia"/>
              <w:b/>
            </w:rPr>
            <w:t>B</w:t>
          </w:r>
        </w:p>
      </w:tc>
      <w:tc>
        <w:tcPr>
          <w:tcW w:w="864" w:type="pct"/>
          <w:vAlign w:val="center"/>
        </w:tcPr>
        <w:p w14:paraId="140D4C30" w14:textId="09B2B9D7" w:rsidR="007108EA" w:rsidRPr="0000048E" w:rsidRDefault="007108EA" w:rsidP="006515CD">
          <w:pPr>
            <w:spacing w:after="0"/>
            <w:jc w:val="center"/>
            <w:rPr>
              <w:rFonts w:eastAsiaTheme="minorEastAsia"/>
              <w:b/>
              <w:lang w:val="es-ES"/>
            </w:rPr>
          </w:pPr>
          <w:r w:rsidRPr="003630C0">
            <w:rPr>
              <w:rFonts w:eastAsiaTheme="minorEastAsia"/>
              <w:b/>
              <w:lang w:val="es-ES"/>
            </w:rPr>
            <w:t xml:space="preserve">Página </w:t>
          </w:r>
          <w:r w:rsidRPr="003630C0">
            <w:rPr>
              <w:rFonts w:eastAsiaTheme="minorEastAsia"/>
              <w:b/>
              <w:bCs/>
              <w:lang w:val="es-ES"/>
            </w:rPr>
            <w:fldChar w:fldCharType="begin"/>
          </w:r>
          <w:r w:rsidRPr="003630C0">
            <w:rPr>
              <w:rFonts w:eastAsiaTheme="minorEastAsia"/>
              <w:b/>
              <w:bCs/>
              <w:lang w:val="es-ES"/>
            </w:rPr>
            <w:instrText>PAGE  \* Arabic  \* MERGEFORMAT</w:instrText>
          </w:r>
          <w:r w:rsidRPr="003630C0">
            <w:rPr>
              <w:rFonts w:eastAsiaTheme="minorEastAsia"/>
              <w:b/>
              <w:bCs/>
              <w:lang w:val="es-ES"/>
            </w:rPr>
            <w:fldChar w:fldCharType="separate"/>
          </w:r>
          <w:r w:rsidR="00867778">
            <w:rPr>
              <w:rFonts w:eastAsiaTheme="minorEastAsia"/>
              <w:b/>
              <w:bCs/>
              <w:noProof/>
              <w:lang w:val="es-ES"/>
            </w:rPr>
            <w:t>43</w:t>
          </w:r>
          <w:r w:rsidRPr="003630C0">
            <w:rPr>
              <w:rFonts w:eastAsiaTheme="minorEastAsia"/>
              <w:b/>
              <w:bCs/>
              <w:lang w:val="es-ES"/>
            </w:rPr>
            <w:fldChar w:fldCharType="end"/>
          </w:r>
          <w:r w:rsidRPr="003630C0">
            <w:rPr>
              <w:rFonts w:eastAsiaTheme="minorEastAsia"/>
              <w:b/>
              <w:lang w:val="es-ES"/>
            </w:rPr>
            <w:t xml:space="preserve"> de </w:t>
          </w:r>
          <w:r w:rsidRPr="003630C0">
            <w:rPr>
              <w:rFonts w:eastAsiaTheme="minorEastAsia"/>
              <w:b/>
              <w:bCs/>
              <w:lang w:val="es-ES"/>
            </w:rPr>
            <w:fldChar w:fldCharType="begin"/>
          </w:r>
          <w:r w:rsidRPr="003630C0">
            <w:rPr>
              <w:rFonts w:eastAsiaTheme="minorEastAsia"/>
              <w:b/>
              <w:bCs/>
              <w:lang w:val="es-ES"/>
            </w:rPr>
            <w:instrText>NUMPAGES  \* Arabic  \* MERGEFORMAT</w:instrText>
          </w:r>
          <w:r w:rsidRPr="003630C0">
            <w:rPr>
              <w:rFonts w:eastAsiaTheme="minorEastAsia"/>
              <w:b/>
              <w:bCs/>
              <w:lang w:val="es-ES"/>
            </w:rPr>
            <w:fldChar w:fldCharType="separate"/>
          </w:r>
          <w:r w:rsidR="00867778">
            <w:rPr>
              <w:rFonts w:eastAsiaTheme="minorEastAsia"/>
              <w:b/>
              <w:bCs/>
              <w:noProof/>
              <w:lang w:val="es-ES"/>
            </w:rPr>
            <w:t>43</w:t>
          </w:r>
          <w:r w:rsidRPr="003630C0">
            <w:rPr>
              <w:rFonts w:eastAsiaTheme="minorEastAsia"/>
              <w:b/>
              <w:bCs/>
              <w:lang w:val="es-ES"/>
            </w:rPr>
            <w:fldChar w:fldCharType="end"/>
          </w:r>
        </w:p>
      </w:tc>
    </w:tr>
  </w:tbl>
  <w:p w14:paraId="29249ECD" w14:textId="77777777" w:rsidR="007108EA" w:rsidRDefault="007108E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5664"/>
      <w:gridCol w:w="1657"/>
      <w:gridCol w:w="1817"/>
    </w:tblGrid>
    <w:tr w:rsidR="007108EA" w:rsidRPr="00122D5E" w14:paraId="455BACC6" w14:textId="77777777" w:rsidTr="00C436E2">
      <w:trPr>
        <w:trHeight w:val="412"/>
        <w:jc w:val="center"/>
      </w:trPr>
      <w:tc>
        <w:tcPr>
          <w:tcW w:w="655" w:type="pct"/>
          <w:vMerge w:val="restart"/>
          <w:vAlign w:val="center"/>
        </w:tcPr>
        <w:p w14:paraId="16536C56" w14:textId="77777777" w:rsidR="007108EA" w:rsidRPr="0000048E" w:rsidRDefault="007108EA" w:rsidP="00B31EDF">
          <w:pPr>
            <w:pStyle w:val="Encabezado"/>
            <w:jc w:val="center"/>
            <w:rPr>
              <w:rFonts w:eastAsiaTheme="minorEastAsia"/>
            </w:rPr>
          </w:pPr>
          <w:r>
            <w:rPr>
              <w:rFonts w:cstheme="minorHAnsi"/>
              <w:b/>
              <w:noProof/>
              <w:sz w:val="24"/>
              <w:szCs w:val="20"/>
              <w:lang w:eastAsia="es-CL"/>
            </w:rPr>
            <w:drawing>
              <wp:inline distT="0" distB="0" distL="0" distR="0" wp14:anchorId="74BDA922" wp14:editId="2B0E6128">
                <wp:extent cx="609600" cy="642551"/>
                <wp:effectExtent l="0" t="0" r="0" b="5715"/>
                <wp:docPr id="1241767994" name="Imagen 12417679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201" cy="651617"/>
                        </a:xfrm>
                        <a:prstGeom prst="rect">
                          <a:avLst/>
                        </a:prstGeom>
                        <a:noFill/>
                        <a:ln>
                          <a:noFill/>
                        </a:ln>
                      </pic:spPr>
                    </pic:pic>
                  </a:graphicData>
                </a:graphic>
              </wp:inline>
            </w:drawing>
          </w:r>
        </w:p>
      </w:tc>
      <w:tc>
        <w:tcPr>
          <w:tcW w:w="2693" w:type="pct"/>
          <w:vMerge w:val="restart"/>
          <w:vAlign w:val="center"/>
        </w:tcPr>
        <w:p w14:paraId="098F2AC1" w14:textId="77777777" w:rsidR="0075343A" w:rsidRPr="0075343A" w:rsidRDefault="002553EC" w:rsidP="0075343A">
          <w:pPr>
            <w:pStyle w:val="Encabezado"/>
            <w:jc w:val="center"/>
            <w:rPr>
              <w:rFonts w:eastAsiaTheme="minorEastAsia"/>
              <w:b/>
              <w:sz w:val="28"/>
              <w:szCs w:val="28"/>
            </w:rPr>
          </w:pPr>
          <w:r>
            <w:rPr>
              <w:rFonts w:eastAsiaTheme="minorEastAsia"/>
              <w:b/>
              <w:sz w:val="28"/>
              <w:szCs w:val="28"/>
            </w:rPr>
            <w:t xml:space="preserve">INFORME </w:t>
          </w:r>
          <w:r w:rsidR="007B3E85">
            <w:rPr>
              <w:rFonts w:eastAsiaTheme="minorEastAsia"/>
              <w:b/>
              <w:sz w:val="28"/>
              <w:szCs w:val="28"/>
            </w:rPr>
            <w:t xml:space="preserve">JUSTIFICATIVO </w:t>
          </w:r>
          <w:r>
            <w:rPr>
              <w:rFonts w:eastAsiaTheme="minorEastAsia"/>
              <w:b/>
              <w:sz w:val="28"/>
              <w:szCs w:val="28"/>
            </w:rPr>
            <w:t>DE PROYECTO</w:t>
          </w:r>
          <w:r w:rsidR="00701121">
            <w:rPr>
              <w:rFonts w:eastAsiaTheme="minorEastAsia"/>
              <w:b/>
              <w:sz w:val="28"/>
              <w:szCs w:val="28"/>
            </w:rPr>
            <w:t xml:space="preserve"> </w:t>
          </w:r>
          <w:r w:rsidR="0075343A" w:rsidRPr="0075343A">
            <w:rPr>
              <w:rFonts w:eastAsiaTheme="minorEastAsia"/>
              <w:b/>
              <w:sz w:val="28"/>
              <w:szCs w:val="28"/>
            </w:rPr>
            <w:t xml:space="preserve">AUMENTO DE POTENCIA CONSUMO TEA </w:t>
          </w:r>
        </w:p>
        <w:p w14:paraId="74CDCDAA" w14:textId="5467EB54" w:rsidR="00701121" w:rsidRPr="0000048E" w:rsidRDefault="0075343A" w:rsidP="0075343A">
          <w:pPr>
            <w:pStyle w:val="Encabezado"/>
            <w:jc w:val="center"/>
            <w:rPr>
              <w:rFonts w:eastAsiaTheme="minorEastAsia"/>
              <w:b/>
              <w:sz w:val="28"/>
              <w:szCs w:val="28"/>
            </w:rPr>
          </w:pPr>
          <w:r w:rsidRPr="0075343A">
            <w:rPr>
              <w:rFonts w:eastAsiaTheme="minorEastAsia"/>
              <w:b/>
              <w:sz w:val="28"/>
              <w:szCs w:val="28"/>
            </w:rPr>
            <w:t>S/E LAGUNAS (10 MW) (NUP 3703)</w:t>
          </w:r>
        </w:p>
      </w:tc>
      <w:tc>
        <w:tcPr>
          <w:tcW w:w="1652" w:type="pct"/>
          <w:gridSpan w:val="2"/>
          <w:vAlign w:val="center"/>
        </w:tcPr>
        <w:p w14:paraId="1657E793" w14:textId="15346085" w:rsidR="007108EA" w:rsidRPr="0000048E" w:rsidRDefault="00701121" w:rsidP="00B31EDF">
          <w:pPr>
            <w:pStyle w:val="Encabezado"/>
            <w:jc w:val="center"/>
            <w:rPr>
              <w:rFonts w:eastAsiaTheme="minorEastAsia"/>
              <w:b/>
            </w:rPr>
          </w:pPr>
          <w:r>
            <w:rPr>
              <w:rFonts w:eastAsiaTheme="minorEastAsia"/>
              <w:b/>
            </w:rPr>
            <w:t>LAGUNAS TEA</w:t>
          </w:r>
          <w:r w:rsidR="007108EA">
            <w:rPr>
              <w:rFonts w:eastAsiaTheme="minorEastAsia"/>
              <w:b/>
            </w:rPr>
            <w:t xml:space="preserve"> SQM</w:t>
          </w:r>
        </w:p>
      </w:tc>
    </w:tr>
    <w:tr w:rsidR="007108EA" w:rsidRPr="00F757AF" w14:paraId="4651A856" w14:textId="77777777" w:rsidTr="00C436E2">
      <w:trPr>
        <w:trHeight w:val="412"/>
        <w:jc w:val="center"/>
      </w:trPr>
      <w:tc>
        <w:tcPr>
          <w:tcW w:w="655" w:type="pct"/>
          <w:vMerge/>
        </w:tcPr>
        <w:p w14:paraId="68FFEE83" w14:textId="77777777" w:rsidR="007108EA" w:rsidRPr="0000048E" w:rsidRDefault="007108EA" w:rsidP="00B31EDF">
          <w:pPr>
            <w:pStyle w:val="Encabezado"/>
            <w:rPr>
              <w:rFonts w:eastAsiaTheme="minorEastAsia"/>
            </w:rPr>
          </w:pPr>
        </w:p>
      </w:tc>
      <w:tc>
        <w:tcPr>
          <w:tcW w:w="2693" w:type="pct"/>
          <w:vMerge/>
        </w:tcPr>
        <w:p w14:paraId="3D6DF57A" w14:textId="77777777" w:rsidR="007108EA" w:rsidRPr="0000048E" w:rsidRDefault="007108EA" w:rsidP="00B31EDF">
          <w:pPr>
            <w:pStyle w:val="Encabezado"/>
            <w:rPr>
              <w:rFonts w:eastAsiaTheme="minorEastAsia"/>
            </w:rPr>
          </w:pPr>
        </w:p>
      </w:tc>
      <w:tc>
        <w:tcPr>
          <w:tcW w:w="1652" w:type="pct"/>
          <w:gridSpan w:val="2"/>
          <w:vAlign w:val="center"/>
        </w:tcPr>
        <w:p w14:paraId="3E6F13A6" w14:textId="28CA9241" w:rsidR="007108EA" w:rsidRPr="00F757AF" w:rsidRDefault="00701121" w:rsidP="008A2EC6">
          <w:pPr>
            <w:pStyle w:val="Encabezado"/>
            <w:jc w:val="center"/>
            <w:rPr>
              <w:rFonts w:eastAsiaTheme="minorEastAsia"/>
              <w:b/>
              <w:highlight w:val="yellow"/>
              <w:lang w:val="en-US"/>
            </w:rPr>
          </w:pPr>
          <w:r w:rsidRPr="00701121">
            <w:rPr>
              <w:rFonts w:eastAsiaTheme="minorEastAsia"/>
              <w:b/>
              <w:lang w:val="en-US"/>
            </w:rPr>
            <w:t>I0562-123140-</w:t>
          </w:r>
          <w:r w:rsidR="002553EC">
            <w:rPr>
              <w:rFonts w:eastAsiaTheme="minorEastAsia"/>
              <w:b/>
              <w:lang w:val="en-US"/>
            </w:rPr>
            <w:t>IT</w:t>
          </w:r>
          <w:r w:rsidRPr="00701121">
            <w:rPr>
              <w:rFonts w:eastAsiaTheme="minorEastAsia"/>
              <w:b/>
              <w:lang w:val="en-US"/>
            </w:rPr>
            <w:t>-600-00</w:t>
          </w:r>
          <w:r w:rsidR="007B3E85">
            <w:rPr>
              <w:rFonts w:eastAsiaTheme="minorEastAsia"/>
              <w:b/>
              <w:lang w:val="en-US"/>
            </w:rPr>
            <w:t>2</w:t>
          </w:r>
        </w:p>
      </w:tc>
    </w:tr>
    <w:tr w:rsidR="007108EA" w:rsidRPr="00122D5E" w14:paraId="7BC46746" w14:textId="77777777" w:rsidTr="00C436E2">
      <w:trPr>
        <w:trHeight w:val="412"/>
        <w:jc w:val="center"/>
      </w:trPr>
      <w:tc>
        <w:tcPr>
          <w:tcW w:w="655" w:type="pct"/>
          <w:vMerge/>
        </w:tcPr>
        <w:p w14:paraId="45B3CDB3" w14:textId="77777777" w:rsidR="007108EA" w:rsidRPr="00F757AF" w:rsidRDefault="007108EA" w:rsidP="00B31EDF">
          <w:pPr>
            <w:pStyle w:val="Encabezado"/>
            <w:rPr>
              <w:rFonts w:eastAsiaTheme="minorEastAsia"/>
              <w:lang w:val="en-US"/>
            </w:rPr>
          </w:pPr>
        </w:p>
      </w:tc>
      <w:tc>
        <w:tcPr>
          <w:tcW w:w="2693" w:type="pct"/>
          <w:vMerge/>
        </w:tcPr>
        <w:p w14:paraId="1DE7196E" w14:textId="77777777" w:rsidR="007108EA" w:rsidRPr="00F757AF" w:rsidRDefault="007108EA" w:rsidP="00B31EDF">
          <w:pPr>
            <w:pStyle w:val="Encabezado"/>
            <w:rPr>
              <w:rFonts w:eastAsiaTheme="minorEastAsia"/>
              <w:lang w:val="en-US"/>
            </w:rPr>
          </w:pPr>
        </w:p>
      </w:tc>
      <w:tc>
        <w:tcPr>
          <w:tcW w:w="788" w:type="pct"/>
          <w:vAlign w:val="center"/>
        </w:tcPr>
        <w:p w14:paraId="45C75CCA" w14:textId="4E3DB734" w:rsidR="007108EA" w:rsidRPr="0000048E" w:rsidRDefault="007108EA" w:rsidP="00A3532F">
          <w:pPr>
            <w:pStyle w:val="Encabezado"/>
            <w:jc w:val="center"/>
            <w:rPr>
              <w:rFonts w:eastAsiaTheme="minorEastAsia"/>
              <w:b/>
            </w:rPr>
          </w:pPr>
          <w:r>
            <w:rPr>
              <w:rFonts w:eastAsiaTheme="minorEastAsia"/>
              <w:b/>
            </w:rPr>
            <w:t xml:space="preserve">Rev. </w:t>
          </w:r>
          <w:r w:rsidR="007B3E85">
            <w:rPr>
              <w:rFonts w:eastAsiaTheme="minorEastAsia"/>
              <w:b/>
            </w:rPr>
            <w:t>B</w:t>
          </w:r>
        </w:p>
      </w:tc>
      <w:tc>
        <w:tcPr>
          <w:tcW w:w="864" w:type="pct"/>
          <w:vAlign w:val="center"/>
        </w:tcPr>
        <w:p w14:paraId="0C3F8455" w14:textId="3B1D45B8" w:rsidR="007108EA" w:rsidRPr="0000048E" w:rsidRDefault="007108EA" w:rsidP="00B31EDF">
          <w:pPr>
            <w:spacing w:after="0"/>
            <w:jc w:val="center"/>
            <w:rPr>
              <w:rFonts w:eastAsiaTheme="minorEastAsia"/>
              <w:b/>
              <w:lang w:val="es-ES"/>
            </w:rPr>
          </w:pPr>
          <w:r w:rsidRPr="003630C0">
            <w:rPr>
              <w:rFonts w:eastAsiaTheme="minorEastAsia"/>
              <w:b/>
              <w:lang w:val="es-ES"/>
            </w:rPr>
            <w:t xml:space="preserve">Página </w:t>
          </w:r>
          <w:r w:rsidRPr="003630C0">
            <w:rPr>
              <w:rFonts w:eastAsiaTheme="minorEastAsia"/>
              <w:b/>
              <w:bCs/>
              <w:lang w:val="es-ES"/>
            </w:rPr>
            <w:fldChar w:fldCharType="begin"/>
          </w:r>
          <w:r w:rsidRPr="003630C0">
            <w:rPr>
              <w:rFonts w:eastAsiaTheme="minorEastAsia"/>
              <w:b/>
              <w:bCs/>
              <w:lang w:val="es-ES"/>
            </w:rPr>
            <w:instrText>PAGE  \* Arabic  \* MERGEFORMAT</w:instrText>
          </w:r>
          <w:r w:rsidRPr="003630C0">
            <w:rPr>
              <w:rFonts w:eastAsiaTheme="minorEastAsia"/>
              <w:b/>
              <w:bCs/>
              <w:lang w:val="es-ES"/>
            </w:rPr>
            <w:fldChar w:fldCharType="separate"/>
          </w:r>
          <w:r w:rsidR="00867778">
            <w:rPr>
              <w:rFonts w:eastAsiaTheme="minorEastAsia"/>
              <w:b/>
              <w:bCs/>
              <w:noProof/>
              <w:lang w:val="es-ES"/>
            </w:rPr>
            <w:t>2</w:t>
          </w:r>
          <w:r w:rsidRPr="003630C0">
            <w:rPr>
              <w:rFonts w:eastAsiaTheme="minorEastAsia"/>
              <w:b/>
              <w:bCs/>
              <w:lang w:val="es-ES"/>
            </w:rPr>
            <w:fldChar w:fldCharType="end"/>
          </w:r>
          <w:r w:rsidRPr="003630C0">
            <w:rPr>
              <w:rFonts w:eastAsiaTheme="minorEastAsia"/>
              <w:b/>
              <w:lang w:val="es-ES"/>
            </w:rPr>
            <w:t xml:space="preserve"> de </w:t>
          </w:r>
          <w:r w:rsidRPr="003630C0">
            <w:rPr>
              <w:rFonts w:eastAsiaTheme="minorEastAsia"/>
              <w:b/>
              <w:bCs/>
              <w:lang w:val="es-ES"/>
            </w:rPr>
            <w:fldChar w:fldCharType="begin"/>
          </w:r>
          <w:r w:rsidRPr="003630C0">
            <w:rPr>
              <w:rFonts w:eastAsiaTheme="minorEastAsia"/>
              <w:b/>
              <w:bCs/>
              <w:lang w:val="es-ES"/>
            </w:rPr>
            <w:instrText>NUMPAGES  \* Arabic  \* MERGEFORMAT</w:instrText>
          </w:r>
          <w:r w:rsidRPr="003630C0">
            <w:rPr>
              <w:rFonts w:eastAsiaTheme="minorEastAsia"/>
              <w:b/>
              <w:bCs/>
              <w:lang w:val="es-ES"/>
            </w:rPr>
            <w:fldChar w:fldCharType="separate"/>
          </w:r>
          <w:r w:rsidR="00867778">
            <w:rPr>
              <w:rFonts w:eastAsiaTheme="minorEastAsia"/>
              <w:b/>
              <w:bCs/>
              <w:noProof/>
              <w:lang w:val="es-ES"/>
            </w:rPr>
            <w:t>43</w:t>
          </w:r>
          <w:r w:rsidRPr="003630C0">
            <w:rPr>
              <w:rFonts w:eastAsiaTheme="minorEastAsia"/>
              <w:b/>
              <w:bCs/>
              <w:lang w:val="es-ES"/>
            </w:rPr>
            <w:fldChar w:fldCharType="end"/>
          </w:r>
        </w:p>
      </w:tc>
    </w:tr>
  </w:tbl>
  <w:p w14:paraId="38BAE3B0" w14:textId="77777777" w:rsidR="007108EA" w:rsidRDefault="007108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0D4"/>
    <w:multiLevelType w:val="hybridMultilevel"/>
    <w:tmpl w:val="58CCDB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CA126D9"/>
    <w:multiLevelType w:val="hybridMultilevel"/>
    <w:tmpl w:val="284065F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262772B"/>
    <w:multiLevelType w:val="hybridMultilevel"/>
    <w:tmpl w:val="DDBCF1F2"/>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169A4C48"/>
    <w:multiLevelType w:val="hybridMultilevel"/>
    <w:tmpl w:val="5F302FE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17D74846"/>
    <w:multiLevelType w:val="hybridMultilevel"/>
    <w:tmpl w:val="CAB297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F126F2"/>
    <w:multiLevelType w:val="hybridMultilevel"/>
    <w:tmpl w:val="9020B2C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C0349C"/>
    <w:multiLevelType w:val="hybridMultilevel"/>
    <w:tmpl w:val="149AC136"/>
    <w:lvl w:ilvl="0" w:tplc="3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C06BCE"/>
    <w:multiLevelType w:val="hybridMultilevel"/>
    <w:tmpl w:val="2F3682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F8A36A1"/>
    <w:multiLevelType w:val="hybridMultilevel"/>
    <w:tmpl w:val="DF009F7C"/>
    <w:lvl w:ilvl="0" w:tplc="340A0001">
      <w:start w:val="1"/>
      <w:numFmt w:val="bullet"/>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9" w15:restartNumberingAfterBreak="0">
    <w:nsid w:val="22426931"/>
    <w:multiLevelType w:val="hybridMultilevel"/>
    <w:tmpl w:val="BAAABA28"/>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0" w15:restartNumberingAfterBreak="0">
    <w:nsid w:val="24BC7E5D"/>
    <w:multiLevelType w:val="hybridMultilevel"/>
    <w:tmpl w:val="F0661A2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15:restartNumberingAfterBreak="0">
    <w:nsid w:val="255A2A4F"/>
    <w:multiLevelType w:val="hybridMultilevel"/>
    <w:tmpl w:val="B95C792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 w15:restartNumberingAfterBreak="0">
    <w:nsid w:val="279A6D71"/>
    <w:multiLevelType w:val="multilevel"/>
    <w:tmpl w:val="2EEC81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9C22720"/>
    <w:multiLevelType w:val="hybridMultilevel"/>
    <w:tmpl w:val="850EF326"/>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15:restartNumberingAfterBreak="0">
    <w:nsid w:val="2BB448C8"/>
    <w:multiLevelType w:val="hybridMultilevel"/>
    <w:tmpl w:val="A360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B7B00"/>
    <w:multiLevelType w:val="hybridMultilevel"/>
    <w:tmpl w:val="EA6CD3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01F5F8E"/>
    <w:multiLevelType w:val="hybridMultilevel"/>
    <w:tmpl w:val="05641F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B5D2927"/>
    <w:multiLevelType w:val="hybridMultilevel"/>
    <w:tmpl w:val="CFC075FA"/>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15:restartNumberingAfterBreak="0">
    <w:nsid w:val="3E992C02"/>
    <w:multiLevelType w:val="hybridMultilevel"/>
    <w:tmpl w:val="198085D8"/>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47294567"/>
    <w:multiLevelType w:val="hybridMultilevel"/>
    <w:tmpl w:val="F4D2C59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C3C6780"/>
    <w:multiLevelType w:val="hybridMultilevel"/>
    <w:tmpl w:val="C67292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DE8789F"/>
    <w:multiLevelType w:val="hybridMultilevel"/>
    <w:tmpl w:val="927AD8B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15:restartNumberingAfterBreak="0">
    <w:nsid w:val="50B56CF3"/>
    <w:multiLevelType w:val="hybridMultilevel"/>
    <w:tmpl w:val="D0667E7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11C6B65"/>
    <w:multiLevelType w:val="hybridMultilevel"/>
    <w:tmpl w:val="B30C59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8963829"/>
    <w:multiLevelType w:val="hybridMultilevel"/>
    <w:tmpl w:val="7288582E"/>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15:restartNumberingAfterBreak="0">
    <w:nsid w:val="58AC04A7"/>
    <w:multiLevelType w:val="multilevel"/>
    <w:tmpl w:val="D0200BBE"/>
    <w:lvl w:ilvl="0">
      <w:start w:val="1"/>
      <w:numFmt w:val="decimal"/>
      <w:lvlText w:val="%1."/>
      <w:lvlJc w:val="left"/>
      <w:pPr>
        <w:ind w:left="360" w:hanging="360"/>
      </w:pPr>
      <w:rPr>
        <w:rFonts w:hint="default"/>
      </w:rPr>
    </w:lvl>
    <w:lvl w:ilvl="1">
      <w:start w:val="1"/>
      <w:numFmt w:val="decimal"/>
      <w:pStyle w:val="SUBTITULO"/>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9E72B45"/>
    <w:multiLevelType w:val="hybridMultilevel"/>
    <w:tmpl w:val="8746F05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E72090A"/>
    <w:multiLevelType w:val="hybridMultilevel"/>
    <w:tmpl w:val="D6C25C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E7D3007"/>
    <w:multiLevelType w:val="hybridMultilevel"/>
    <w:tmpl w:val="7E4E09F2"/>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9" w15:restartNumberingAfterBreak="0">
    <w:nsid w:val="613900F9"/>
    <w:multiLevelType w:val="hybridMultilevel"/>
    <w:tmpl w:val="E6805788"/>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0" w15:restartNumberingAfterBreak="0">
    <w:nsid w:val="623E24E3"/>
    <w:multiLevelType w:val="hybridMultilevel"/>
    <w:tmpl w:val="A08A4FF2"/>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1" w15:restartNumberingAfterBreak="0">
    <w:nsid w:val="6E7374DE"/>
    <w:multiLevelType w:val="hybridMultilevel"/>
    <w:tmpl w:val="53E279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ECA13A4"/>
    <w:multiLevelType w:val="hybridMultilevel"/>
    <w:tmpl w:val="5504015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3" w15:restartNumberingAfterBreak="0">
    <w:nsid w:val="705240D8"/>
    <w:multiLevelType w:val="hybridMultilevel"/>
    <w:tmpl w:val="6DCA7A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4CB51E8"/>
    <w:multiLevelType w:val="multilevel"/>
    <w:tmpl w:val="2EEC81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63939EF"/>
    <w:multiLevelType w:val="hybridMultilevel"/>
    <w:tmpl w:val="84FE6260"/>
    <w:lvl w:ilvl="0" w:tplc="340A0001">
      <w:start w:val="1"/>
      <w:numFmt w:val="bullet"/>
      <w:lvlText w:val=""/>
      <w:lvlJc w:val="left"/>
      <w:pPr>
        <w:ind w:left="2160" w:hanging="360"/>
      </w:pPr>
      <w:rPr>
        <w:rFonts w:ascii="Symbol" w:hAnsi="Symbol" w:hint="default"/>
      </w:rPr>
    </w:lvl>
    <w:lvl w:ilvl="1" w:tplc="340A0003">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6" w15:restartNumberingAfterBreak="0">
    <w:nsid w:val="79630A93"/>
    <w:multiLevelType w:val="hybridMultilevel"/>
    <w:tmpl w:val="11FA073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617177149">
    <w:abstractNumId w:val="25"/>
  </w:num>
  <w:num w:numId="2" w16cid:durableId="324355674">
    <w:abstractNumId w:val="5"/>
  </w:num>
  <w:num w:numId="3" w16cid:durableId="939920048">
    <w:abstractNumId w:val="12"/>
  </w:num>
  <w:num w:numId="4" w16cid:durableId="74984547">
    <w:abstractNumId w:val="1"/>
  </w:num>
  <w:num w:numId="5" w16cid:durableId="287856989">
    <w:abstractNumId w:val="8"/>
  </w:num>
  <w:num w:numId="6" w16cid:durableId="990017061">
    <w:abstractNumId w:val="2"/>
  </w:num>
  <w:num w:numId="7" w16cid:durableId="2098014566">
    <w:abstractNumId w:val="18"/>
  </w:num>
  <w:num w:numId="8" w16cid:durableId="81534218">
    <w:abstractNumId w:val="36"/>
  </w:num>
  <w:num w:numId="9" w16cid:durableId="6627806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82332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7972623">
    <w:abstractNumId w:val="25"/>
  </w:num>
  <w:num w:numId="12" w16cid:durableId="10772833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757826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56879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25786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01369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51904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47612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95819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83292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17578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23301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78432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69072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07706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17550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01621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04595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0673922">
    <w:abstractNumId w:val="10"/>
  </w:num>
  <w:num w:numId="30" w16cid:durableId="1858150181">
    <w:abstractNumId w:val="25"/>
  </w:num>
  <w:num w:numId="31" w16cid:durableId="1894659748">
    <w:abstractNumId w:val="25"/>
  </w:num>
  <w:num w:numId="32" w16cid:durableId="301539716">
    <w:abstractNumId w:val="25"/>
  </w:num>
  <w:num w:numId="33" w16cid:durableId="198860448">
    <w:abstractNumId w:val="25"/>
  </w:num>
  <w:num w:numId="34" w16cid:durableId="1006858720">
    <w:abstractNumId w:val="25"/>
  </w:num>
  <w:num w:numId="35" w16cid:durableId="379987543">
    <w:abstractNumId w:val="25"/>
  </w:num>
  <w:num w:numId="36" w16cid:durableId="1300379019">
    <w:abstractNumId w:val="25"/>
  </w:num>
  <w:num w:numId="37" w16cid:durableId="346836810">
    <w:abstractNumId w:val="25"/>
  </w:num>
  <w:num w:numId="38" w16cid:durableId="1470855870">
    <w:abstractNumId w:val="25"/>
  </w:num>
  <w:num w:numId="39" w16cid:durableId="430777630">
    <w:abstractNumId w:val="9"/>
  </w:num>
  <w:num w:numId="40" w16cid:durableId="998532855">
    <w:abstractNumId w:val="35"/>
  </w:num>
  <w:num w:numId="41" w16cid:durableId="132723101">
    <w:abstractNumId w:val="25"/>
  </w:num>
  <w:num w:numId="42" w16cid:durableId="678853558">
    <w:abstractNumId w:val="29"/>
  </w:num>
  <w:num w:numId="43" w16cid:durableId="328220890">
    <w:abstractNumId w:val="23"/>
  </w:num>
  <w:num w:numId="44" w16cid:durableId="980378225">
    <w:abstractNumId w:val="16"/>
  </w:num>
  <w:num w:numId="45" w16cid:durableId="1517573168">
    <w:abstractNumId w:val="22"/>
  </w:num>
  <w:num w:numId="46" w16cid:durableId="503864792">
    <w:abstractNumId w:val="14"/>
  </w:num>
  <w:num w:numId="47" w16cid:durableId="6805515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544927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03311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35757204">
    <w:abstractNumId w:val="0"/>
  </w:num>
  <w:num w:numId="51" w16cid:durableId="1705590388">
    <w:abstractNumId w:val="34"/>
  </w:num>
  <w:num w:numId="52" w16cid:durableId="33509203">
    <w:abstractNumId w:val="28"/>
  </w:num>
  <w:num w:numId="53" w16cid:durableId="20257849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22075140">
    <w:abstractNumId w:val="7"/>
  </w:num>
  <w:num w:numId="55" w16cid:durableId="1668751617">
    <w:abstractNumId w:val="31"/>
  </w:num>
  <w:num w:numId="56" w16cid:durableId="1235700722">
    <w:abstractNumId w:val="19"/>
  </w:num>
  <w:num w:numId="57" w16cid:durableId="13577327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668176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70208553">
    <w:abstractNumId w:val="21"/>
  </w:num>
  <w:num w:numId="60" w16cid:durableId="1693914534">
    <w:abstractNumId w:val="17"/>
  </w:num>
  <w:num w:numId="61" w16cid:durableId="1548834043">
    <w:abstractNumId w:val="30"/>
  </w:num>
  <w:num w:numId="62" w16cid:durableId="592052744">
    <w:abstractNumId w:val="13"/>
  </w:num>
  <w:num w:numId="63" w16cid:durableId="484057358">
    <w:abstractNumId w:val="24"/>
  </w:num>
  <w:num w:numId="64" w16cid:durableId="1165709291">
    <w:abstractNumId w:val="11"/>
  </w:num>
  <w:num w:numId="65" w16cid:durableId="699428837">
    <w:abstractNumId w:val="32"/>
  </w:num>
  <w:num w:numId="66" w16cid:durableId="1167942459">
    <w:abstractNumId w:val="3"/>
  </w:num>
  <w:num w:numId="67" w16cid:durableId="32926073">
    <w:abstractNumId w:val="4"/>
  </w:num>
  <w:num w:numId="68" w16cid:durableId="64912624">
    <w:abstractNumId w:val="26"/>
  </w:num>
  <w:num w:numId="69" w16cid:durableId="554658791">
    <w:abstractNumId w:val="27"/>
  </w:num>
  <w:num w:numId="70" w16cid:durableId="1464810704">
    <w:abstractNumId w:val="15"/>
  </w:num>
  <w:num w:numId="71" w16cid:durableId="1839611539">
    <w:abstractNumId w:val="20"/>
  </w:num>
  <w:num w:numId="72" w16cid:durableId="322204974">
    <w:abstractNumId w:val="33"/>
  </w:num>
  <w:num w:numId="73" w16cid:durableId="210772278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DCF"/>
    <w:rsid w:val="00000475"/>
    <w:rsid w:val="0000048E"/>
    <w:rsid w:val="00001247"/>
    <w:rsid w:val="000017AC"/>
    <w:rsid w:val="00002CC8"/>
    <w:rsid w:val="00002DA8"/>
    <w:rsid w:val="000036CF"/>
    <w:rsid w:val="00006010"/>
    <w:rsid w:val="000078BE"/>
    <w:rsid w:val="00007FE9"/>
    <w:rsid w:val="000114A9"/>
    <w:rsid w:val="0001252D"/>
    <w:rsid w:val="000145D7"/>
    <w:rsid w:val="0001763F"/>
    <w:rsid w:val="00021203"/>
    <w:rsid w:val="00023939"/>
    <w:rsid w:val="000250EC"/>
    <w:rsid w:val="00025805"/>
    <w:rsid w:val="00031F8A"/>
    <w:rsid w:val="000329FE"/>
    <w:rsid w:val="00033377"/>
    <w:rsid w:val="0003394F"/>
    <w:rsid w:val="000403DC"/>
    <w:rsid w:val="000452BD"/>
    <w:rsid w:val="000452E6"/>
    <w:rsid w:val="00046BCE"/>
    <w:rsid w:val="0004796A"/>
    <w:rsid w:val="00056072"/>
    <w:rsid w:val="00057A40"/>
    <w:rsid w:val="00061E81"/>
    <w:rsid w:val="00063428"/>
    <w:rsid w:val="00063A1F"/>
    <w:rsid w:val="00063A7E"/>
    <w:rsid w:val="00064427"/>
    <w:rsid w:val="00067E12"/>
    <w:rsid w:val="000705C5"/>
    <w:rsid w:val="0007306A"/>
    <w:rsid w:val="00073EC0"/>
    <w:rsid w:val="00077711"/>
    <w:rsid w:val="00080045"/>
    <w:rsid w:val="0008042C"/>
    <w:rsid w:val="00080FE2"/>
    <w:rsid w:val="000817EC"/>
    <w:rsid w:val="00082E09"/>
    <w:rsid w:val="0008633B"/>
    <w:rsid w:val="000864B9"/>
    <w:rsid w:val="000901B3"/>
    <w:rsid w:val="00091609"/>
    <w:rsid w:val="00092EEF"/>
    <w:rsid w:val="00093066"/>
    <w:rsid w:val="00096EEA"/>
    <w:rsid w:val="00097598"/>
    <w:rsid w:val="000A0687"/>
    <w:rsid w:val="000A1493"/>
    <w:rsid w:val="000A1FDD"/>
    <w:rsid w:val="000A22B3"/>
    <w:rsid w:val="000A2519"/>
    <w:rsid w:val="000A403C"/>
    <w:rsid w:val="000A5638"/>
    <w:rsid w:val="000A7B28"/>
    <w:rsid w:val="000A7FFD"/>
    <w:rsid w:val="000B0AD6"/>
    <w:rsid w:val="000B344E"/>
    <w:rsid w:val="000B64A7"/>
    <w:rsid w:val="000B710B"/>
    <w:rsid w:val="000C43C9"/>
    <w:rsid w:val="000C5656"/>
    <w:rsid w:val="000C7529"/>
    <w:rsid w:val="000C7850"/>
    <w:rsid w:val="000D01E6"/>
    <w:rsid w:val="000D0609"/>
    <w:rsid w:val="000D09A8"/>
    <w:rsid w:val="000D0F87"/>
    <w:rsid w:val="000D21CB"/>
    <w:rsid w:val="000D5D67"/>
    <w:rsid w:val="000E1494"/>
    <w:rsid w:val="000E34B1"/>
    <w:rsid w:val="000E5B55"/>
    <w:rsid w:val="000E5F56"/>
    <w:rsid w:val="000E658A"/>
    <w:rsid w:val="000E6BAE"/>
    <w:rsid w:val="000E6FAA"/>
    <w:rsid w:val="000F0018"/>
    <w:rsid w:val="000F0ED3"/>
    <w:rsid w:val="000F1DBF"/>
    <w:rsid w:val="000F6784"/>
    <w:rsid w:val="00100965"/>
    <w:rsid w:val="00103512"/>
    <w:rsid w:val="0010396B"/>
    <w:rsid w:val="00104408"/>
    <w:rsid w:val="0011139D"/>
    <w:rsid w:val="00112664"/>
    <w:rsid w:val="0011508C"/>
    <w:rsid w:val="0011540D"/>
    <w:rsid w:val="00115FCE"/>
    <w:rsid w:val="00116388"/>
    <w:rsid w:val="0011754D"/>
    <w:rsid w:val="00121BB1"/>
    <w:rsid w:val="00136B20"/>
    <w:rsid w:val="00142472"/>
    <w:rsid w:val="00143494"/>
    <w:rsid w:val="00146AD3"/>
    <w:rsid w:val="00147959"/>
    <w:rsid w:val="00152A6A"/>
    <w:rsid w:val="001559D7"/>
    <w:rsid w:val="00157C2D"/>
    <w:rsid w:val="001625F0"/>
    <w:rsid w:val="00163655"/>
    <w:rsid w:val="00164736"/>
    <w:rsid w:val="00170C6A"/>
    <w:rsid w:val="00171544"/>
    <w:rsid w:val="00173B29"/>
    <w:rsid w:val="00174799"/>
    <w:rsid w:val="0017528C"/>
    <w:rsid w:val="001761C6"/>
    <w:rsid w:val="001762DD"/>
    <w:rsid w:val="00177D32"/>
    <w:rsid w:val="00181576"/>
    <w:rsid w:val="001833CD"/>
    <w:rsid w:val="00187E8C"/>
    <w:rsid w:val="001919F1"/>
    <w:rsid w:val="00192D46"/>
    <w:rsid w:val="00193B52"/>
    <w:rsid w:val="00193F0B"/>
    <w:rsid w:val="00195CA9"/>
    <w:rsid w:val="00196D08"/>
    <w:rsid w:val="001A068E"/>
    <w:rsid w:val="001A1DCD"/>
    <w:rsid w:val="001A2610"/>
    <w:rsid w:val="001A38AB"/>
    <w:rsid w:val="001A3D5B"/>
    <w:rsid w:val="001A3DDD"/>
    <w:rsid w:val="001A663C"/>
    <w:rsid w:val="001B274F"/>
    <w:rsid w:val="001B3DD3"/>
    <w:rsid w:val="001B3F15"/>
    <w:rsid w:val="001B42EF"/>
    <w:rsid w:val="001B4FB3"/>
    <w:rsid w:val="001B53E5"/>
    <w:rsid w:val="001B6093"/>
    <w:rsid w:val="001B714C"/>
    <w:rsid w:val="001B7893"/>
    <w:rsid w:val="001C1F44"/>
    <w:rsid w:val="001C21EF"/>
    <w:rsid w:val="001C2CF9"/>
    <w:rsid w:val="001C34B5"/>
    <w:rsid w:val="001C3ECE"/>
    <w:rsid w:val="001C4E95"/>
    <w:rsid w:val="001D0952"/>
    <w:rsid w:val="001D0F7B"/>
    <w:rsid w:val="001D157E"/>
    <w:rsid w:val="001D32A7"/>
    <w:rsid w:val="001D409E"/>
    <w:rsid w:val="001D5B70"/>
    <w:rsid w:val="001D74A4"/>
    <w:rsid w:val="001E1BAA"/>
    <w:rsid w:val="001E4566"/>
    <w:rsid w:val="001E5019"/>
    <w:rsid w:val="001E5505"/>
    <w:rsid w:val="001E6514"/>
    <w:rsid w:val="001F204F"/>
    <w:rsid w:val="001F431D"/>
    <w:rsid w:val="001F6DF4"/>
    <w:rsid w:val="001F6F2A"/>
    <w:rsid w:val="002009A4"/>
    <w:rsid w:val="00200C5A"/>
    <w:rsid w:val="002027A4"/>
    <w:rsid w:val="002030D6"/>
    <w:rsid w:val="00204283"/>
    <w:rsid w:val="00205677"/>
    <w:rsid w:val="00211CC8"/>
    <w:rsid w:val="00214E0F"/>
    <w:rsid w:val="0021501E"/>
    <w:rsid w:val="0021509F"/>
    <w:rsid w:val="00215888"/>
    <w:rsid w:val="0022019A"/>
    <w:rsid w:val="002228B8"/>
    <w:rsid w:val="0022380A"/>
    <w:rsid w:val="00223C54"/>
    <w:rsid w:val="00224CB1"/>
    <w:rsid w:val="00224E33"/>
    <w:rsid w:val="00225C80"/>
    <w:rsid w:val="00226863"/>
    <w:rsid w:val="002271D8"/>
    <w:rsid w:val="002310C2"/>
    <w:rsid w:val="002322FD"/>
    <w:rsid w:val="00232FF0"/>
    <w:rsid w:val="00237933"/>
    <w:rsid w:val="002406BC"/>
    <w:rsid w:val="00241344"/>
    <w:rsid w:val="002462C5"/>
    <w:rsid w:val="00253C5B"/>
    <w:rsid w:val="0025438B"/>
    <w:rsid w:val="002553EC"/>
    <w:rsid w:val="00255A65"/>
    <w:rsid w:val="0025601F"/>
    <w:rsid w:val="00256769"/>
    <w:rsid w:val="00264352"/>
    <w:rsid w:val="00271C64"/>
    <w:rsid w:val="00271F9C"/>
    <w:rsid w:val="002721B7"/>
    <w:rsid w:val="00273994"/>
    <w:rsid w:val="0027460E"/>
    <w:rsid w:val="0027481D"/>
    <w:rsid w:val="00275260"/>
    <w:rsid w:val="002761FE"/>
    <w:rsid w:val="002802D4"/>
    <w:rsid w:val="00281589"/>
    <w:rsid w:val="00286A4A"/>
    <w:rsid w:val="00290FED"/>
    <w:rsid w:val="0029133B"/>
    <w:rsid w:val="00292D73"/>
    <w:rsid w:val="002A04A6"/>
    <w:rsid w:val="002A4B1B"/>
    <w:rsid w:val="002A5890"/>
    <w:rsid w:val="002A62D6"/>
    <w:rsid w:val="002B025D"/>
    <w:rsid w:val="002B0FB9"/>
    <w:rsid w:val="002B2940"/>
    <w:rsid w:val="002B7371"/>
    <w:rsid w:val="002B7CAC"/>
    <w:rsid w:val="002C3083"/>
    <w:rsid w:val="002C4079"/>
    <w:rsid w:val="002C6CC9"/>
    <w:rsid w:val="002D199C"/>
    <w:rsid w:val="002D1F00"/>
    <w:rsid w:val="002D6E07"/>
    <w:rsid w:val="002E5945"/>
    <w:rsid w:val="002E7AA9"/>
    <w:rsid w:val="002F08AC"/>
    <w:rsid w:val="002F0D99"/>
    <w:rsid w:val="002F1ACB"/>
    <w:rsid w:val="002F2F3F"/>
    <w:rsid w:val="002F4D1A"/>
    <w:rsid w:val="002F6B9F"/>
    <w:rsid w:val="00301EB3"/>
    <w:rsid w:val="00302C58"/>
    <w:rsid w:val="00302CCF"/>
    <w:rsid w:val="00304F0E"/>
    <w:rsid w:val="0030513D"/>
    <w:rsid w:val="0030775D"/>
    <w:rsid w:val="00310D3C"/>
    <w:rsid w:val="00312E00"/>
    <w:rsid w:val="003141B4"/>
    <w:rsid w:val="003176F3"/>
    <w:rsid w:val="00317C4C"/>
    <w:rsid w:val="00321370"/>
    <w:rsid w:val="00322E7F"/>
    <w:rsid w:val="003252E6"/>
    <w:rsid w:val="00326EBF"/>
    <w:rsid w:val="00331121"/>
    <w:rsid w:val="00335420"/>
    <w:rsid w:val="00335ED0"/>
    <w:rsid w:val="00336B5D"/>
    <w:rsid w:val="003409E1"/>
    <w:rsid w:val="00341E4A"/>
    <w:rsid w:val="00342469"/>
    <w:rsid w:val="00342AC0"/>
    <w:rsid w:val="00345C61"/>
    <w:rsid w:val="00346FF7"/>
    <w:rsid w:val="00347A6D"/>
    <w:rsid w:val="00351104"/>
    <w:rsid w:val="003630C0"/>
    <w:rsid w:val="0036509F"/>
    <w:rsid w:val="003662A9"/>
    <w:rsid w:val="003667E4"/>
    <w:rsid w:val="00366D91"/>
    <w:rsid w:val="00367B5D"/>
    <w:rsid w:val="00371F91"/>
    <w:rsid w:val="0037486A"/>
    <w:rsid w:val="00375FD7"/>
    <w:rsid w:val="00381DFF"/>
    <w:rsid w:val="00384A5D"/>
    <w:rsid w:val="00384E6C"/>
    <w:rsid w:val="0038598B"/>
    <w:rsid w:val="00386AD3"/>
    <w:rsid w:val="00390C70"/>
    <w:rsid w:val="003A0B60"/>
    <w:rsid w:val="003A2724"/>
    <w:rsid w:val="003A3E45"/>
    <w:rsid w:val="003A3FCE"/>
    <w:rsid w:val="003A5D32"/>
    <w:rsid w:val="003A6734"/>
    <w:rsid w:val="003B0305"/>
    <w:rsid w:val="003B56BE"/>
    <w:rsid w:val="003B5C6B"/>
    <w:rsid w:val="003B6F06"/>
    <w:rsid w:val="003C11E4"/>
    <w:rsid w:val="003C1DC1"/>
    <w:rsid w:val="003C351B"/>
    <w:rsid w:val="003C510E"/>
    <w:rsid w:val="003C5D32"/>
    <w:rsid w:val="003C7B9D"/>
    <w:rsid w:val="003D18EB"/>
    <w:rsid w:val="003D36FF"/>
    <w:rsid w:val="003D574B"/>
    <w:rsid w:val="003D7F2B"/>
    <w:rsid w:val="003E1C2A"/>
    <w:rsid w:val="003E1CB5"/>
    <w:rsid w:val="003E4126"/>
    <w:rsid w:val="003E6064"/>
    <w:rsid w:val="003E6BAB"/>
    <w:rsid w:val="003F06ED"/>
    <w:rsid w:val="003F2F67"/>
    <w:rsid w:val="003F5724"/>
    <w:rsid w:val="003F7348"/>
    <w:rsid w:val="0040335A"/>
    <w:rsid w:val="00404284"/>
    <w:rsid w:val="00405D0F"/>
    <w:rsid w:val="004105A5"/>
    <w:rsid w:val="00413890"/>
    <w:rsid w:val="0041444B"/>
    <w:rsid w:val="00415D84"/>
    <w:rsid w:val="00417993"/>
    <w:rsid w:val="00421FB4"/>
    <w:rsid w:val="0042243D"/>
    <w:rsid w:val="00425A70"/>
    <w:rsid w:val="00425BA0"/>
    <w:rsid w:val="0042758F"/>
    <w:rsid w:val="00430EDC"/>
    <w:rsid w:val="00432CFA"/>
    <w:rsid w:val="00436003"/>
    <w:rsid w:val="0044048D"/>
    <w:rsid w:val="00440835"/>
    <w:rsid w:val="00441141"/>
    <w:rsid w:val="00441E57"/>
    <w:rsid w:val="00442CB3"/>
    <w:rsid w:val="00443483"/>
    <w:rsid w:val="004440F8"/>
    <w:rsid w:val="0045008F"/>
    <w:rsid w:val="00451149"/>
    <w:rsid w:val="00451CD1"/>
    <w:rsid w:val="00452EB1"/>
    <w:rsid w:val="00461CC5"/>
    <w:rsid w:val="00463A1B"/>
    <w:rsid w:val="00464C31"/>
    <w:rsid w:val="00467B00"/>
    <w:rsid w:val="00467BAE"/>
    <w:rsid w:val="00471074"/>
    <w:rsid w:val="00473335"/>
    <w:rsid w:val="00475F2E"/>
    <w:rsid w:val="00477C53"/>
    <w:rsid w:val="0048386B"/>
    <w:rsid w:val="0048479E"/>
    <w:rsid w:val="004873E0"/>
    <w:rsid w:val="004903F3"/>
    <w:rsid w:val="00491E2C"/>
    <w:rsid w:val="00492B2C"/>
    <w:rsid w:val="004941AF"/>
    <w:rsid w:val="00494494"/>
    <w:rsid w:val="004959D6"/>
    <w:rsid w:val="0049673E"/>
    <w:rsid w:val="00497983"/>
    <w:rsid w:val="004A2426"/>
    <w:rsid w:val="004A3203"/>
    <w:rsid w:val="004A4046"/>
    <w:rsid w:val="004A4679"/>
    <w:rsid w:val="004A510C"/>
    <w:rsid w:val="004B04F5"/>
    <w:rsid w:val="004B0543"/>
    <w:rsid w:val="004B2E35"/>
    <w:rsid w:val="004B41C6"/>
    <w:rsid w:val="004B4534"/>
    <w:rsid w:val="004B501E"/>
    <w:rsid w:val="004B512F"/>
    <w:rsid w:val="004B6995"/>
    <w:rsid w:val="004C0073"/>
    <w:rsid w:val="004C164E"/>
    <w:rsid w:val="004C1E1B"/>
    <w:rsid w:val="004C2363"/>
    <w:rsid w:val="004C408F"/>
    <w:rsid w:val="004C4BD0"/>
    <w:rsid w:val="004C6D64"/>
    <w:rsid w:val="004C725A"/>
    <w:rsid w:val="004D0C66"/>
    <w:rsid w:val="004D1B8A"/>
    <w:rsid w:val="004D33EF"/>
    <w:rsid w:val="004D395C"/>
    <w:rsid w:val="004D3970"/>
    <w:rsid w:val="004E5451"/>
    <w:rsid w:val="004E664C"/>
    <w:rsid w:val="004F0619"/>
    <w:rsid w:val="004F3E09"/>
    <w:rsid w:val="004F408E"/>
    <w:rsid w:val="004F46C5"/>
    <w:rsid w:val="004F68DB"/>
    <w:rsid w:val="00500A7F"/>
    <w:rsid w:val="00501700"/>
    <w:rsid w:val="005042DB"/>
    <w:rsid w:val="00504D71"/>
    <w:rsid w:val="00505085"/>
    <w:rsid w:val="0050778D"/>
    <w:rsid w:val="00515A62"/>
    <w:rsid w:val="0051648B"/>
    <w:rsid w:val="00517DC9"/>
    <w:rsid w:val="005217CF"/>
    <w:rsid w:val="005228AC"/>
    <w:rsid w:val="00523144"/>
    <w:rsid w:val="00523AAE"/>
    <w:rsid w:val="00527925"/>
    <w:rsid w:val="00531200"/>
    <w:rsid w:val="0053130D"/>
    <w:rsid w:val="00531F6E"/>
    <w:rsid w:val="00532C4C"/>
    <w:rsid w:val="00536992"/>
    <w:rsid w:val="005412E9"/>
    <w:rsid w:val="00543509"/>
    <w:rsid w:val="005540DC"/>
    <w:rsid w:val="00554267"/>
    <w:rsid w:val="0055427F"/>
    <w:rsid w:val="005553F2"/>
    <w:rsid w:val="00556026"/>
    <w:rsid w:val="0055700C"/>
    <w:rsid w:val="005610A8"/>
    <w:rsid w:val="0056321E"/>
    <w:rsid w:val="00566C55"/>
    <w:rsid w:val="0057046D"/>
    <w:rsid w:val="00577085"/>
    <w:rsid w:val="00580EAE"/>
    <w:rsid w:val="00584717"/>
    <w:rsid w:val="00584A6C"/>
    <w:rsid w:val="0058775F"/>
    <w:rsid w:val="0059272F"/>
    <w:rsid w:val="00596A46"/>
    <w:rsid w:val="00596B08"/>
    <w:rsid w:val="005A07BE"/>
    <w:rsid w:val="005A1B6D"/>
    <w:rsid w:val="005A2B7D"/>
    <w:rsid w:val="005B17F2"/>
    <w:rsid w:val="005B27AC"/>
    <w:rsid w:val="005B3BC7"/>
    <w:rsid w:val="005B5ACC"/>
    <w:rsid w:val="005B662A"/>
    <w:rsid w:val="005C11C5"/>
    <w:rsid w:val="005C33B0"/>
    <w:rsid w:val="005C5056"/>
    <w:rsid w:val="005C79A5"/>
    <w:rsid w:val="005D12C0"/>
    <w:rsid w:val="005D68B5"/>
    <w:rsid w:val="005D7B76"/>
    <w:rsid w:val="005E2071"/>
    <w:rsid w:val="005E2390"/>
    <w:rsid w:val="005E26FF"/>
    <w:rsid w:val="005E2BAB"/>
    <w:rsid w:val="005E32D0"/>
    <w:rsid w:val="005E3630"/>
    <w:rsid w:val="005E4B54"/>
    <w:rsid w:val="005E4CB9"/>
    <w:rsid w:val="005E588D"/>
    <w:rsid w:val="005F1325"/>
    <w:rsid w:val="005F1907"/>
    <w:rsid w:val="005F1AD1"/>
    <w:rsid w:val="005F23BD"/>
    <w:rsid w:val="005F2DD6"/>
    <w:rsid w:val="005F4121"/>
    <w:rsid w:val="005F50B4"/>
    <w:rsid w:val="005F5577"/>
    <w:rsid w:val="00602B5E"/>
    <w:rsid w:val="00603D9E"/>
    <w:rsid w:val="00607B20"/>
    <w:rsid w:val="00610A55"/>
    <w:rsid w:val="006123F5"/>
    <w:rsid w:val="00613E00"/>
    <w:rsid w:val="0061427D"/>
    <w:rsid w:val="006159E9"/>
    <w:rsid w:val="00615D98"/>
    <w:rsid w:val="00616E78"/>
    <w:rsid w:val="006210AB"/>
    <w:rsid w:val="0062144C"/>
    <w:rsid w:val="00622F99"/>
    <w:rsid w:val="00623E0E"/>
    <w:rsid w:val="00625922"/>
    <w:rsid w:val="006301DB"/>
    <w:rsid w:val="0063158D"/>
    <w:rsid w:val="00636DB6"/>
    <w:rsid w:val="00637D01"/>
    <w:rsid w:val="00643B25"/>
    <w:rsid w:val="006515CD"/>
    <w:rsid w:val="0065664B"/>
    <w:rsid w:val="00656961"/>
    <w:rsid w:val="00660972"/>
    <w:rsid w:val="00660A4C"/>
    <w:rsid w:val="00663859"/>
    <w:rsid w:val="00664305"/>
    <w:rsid w:val="006648DB"/>
    <w:rsid w:val="00664BF8"/>
    <w:rsid w:val="00666C93"/>
    <w:rsid w:val="00670E54"/>
    <w:rsid w:val="00676BCD"/>
    <w:rsid w:val="00677169"/>
    <w:rsid w:val="00677474"/>
    <w:rsid w:val="006837DE"/>
    <w:rsid w:val="00683D6B"/>
    <w:rsid w:val="00686185"/>
    <w:rsid w:val="006876B9"/>
    <w:rsid w:val="00691652"/>
    <w:rsid w:val="00692F95"/>
    <w:rsid w:val="00693551"/>
    <w:rsid w:val="00694EEE"/>
    <w:rsid w:val="00696888"/>
    <w:rsid w:val="00696AB4"/>
    <w:rsid w:val="006A1DDE"/>
    <w:rsid w:val="006A404C"/>
    <w:rsid w:val="006A5016"/>
    <w:rsid w:val="006A587D"/>
    <w:rsid w:val="006A5A5E"/>
    <w:rsid w:val="006A6559"/>
    <w:rsid w:val="006A78CC"/>
    <w:rsid w:val="006B24D3"/>
    <w:rsid w:val="006B356B"/>
    <w:rsid w:val="006B44AC"/>
    <w:rsid w:val="006B4F9E"/>
    <w:rsid w:val="006C0C7C"/>
    <w:rsid w:val="006C2959"/>
    <w:rsid w:val="006C3684"/>
    <w:rsid w:val="006C765E"/>
    <w:rsid w:val="006D38F1"/>
    <w:rsid w:val="006D4B0E"/>
    <w:rsid w:val="006D5540"/>
    <w:rsid w:val="006D5E4F"/>
    <w:rsid w:val="006D7AE2"/>
    <w:rsid w:val="006E1638"/>
    <w:rsid w:val="006E1AF2"/>
    <w:rsid w:val="006E21EE"/>
    <w:rsid w:val="006E42FA"/>
    <w:rsid w:val="006E7372"/>
    <w:rsid w:val="006F094E"/>
    <w:rsid w:val="006F398E"/>
    <w:rsid w:val="006F4071"/>
    <w:rsid w:val="006F784C"/>
    <w:rsid w:val="00700B4D"/>
    <w:rsid w:val="00701121"/>
    <w:rsid w:val="007015A8"/>
    <w:rsid w:val="0071024C"/>
    <w:rsid w:val="007108EA"/>
    <w:rsid w:val="007109DF"/>
    <w:rsid w:val="007163EE"/>
    <w:rsid w:val="00716DBE"/>
    <w:rsid w:val="00717927"/>
    <w:rsid w:val="00720EE3"/>
    <w:rsid w:val="00723F29"/>
    <w:rsid w:val="00724773"/>
    <w:rsid w:val="00725B71"/>
    <w:rsid w:val="00725E26"/>
    <w:rsid w:val="00731973"/>
    <w:rsid w:val="007320F7"/>
    <w:rsid w:val="007333D8"/>
    <w:rsid w:val="00735EE8"/>
    <w:rsid w:val="00737F0F"/>
    <w:rsid w:val="00737F24"/>
    <w:rsid w:val="007400DB"/>
    <w:rsid w:val="00740535"/>
    <w:rsid w:val="0074325C"/>
    <w:rsid w:val="00743441"/>
    <w:rsid w:val="0074423A"/>
    <w:rsid w:val="00746B92"/>
    <w:rsid w:val="007477C7"/>
    <w:rsid w:val="0075116C"/>
    <w:rsid w:val="0075343A"/>
    <w:rsid w:val="007535B8"/>
    <w:rsid w:val="0075386E"/>
    <w:rsid w:val="007553E5"/>
    <w:rsid w:val="00756784"/>
    <w:rsid w:val="007617C0"/>
    <w:rsid w:val="007624D2"/>
    <w:rsid w:val="00765235"/>
    <w:rsid w:val="00766134"/>
    <w:rsid w:val="007674BF"/>
    <w:rsid w:val="00774C44"/>
    <w:rsid w:val="0077563A"/>
    <w:rsid w:val="00775E8C"/>
    <w:rsid w:val="00776A4D"/>
    <w:rsid w:val="007808C2"/>
    <w:rsid w:val="00783097"/>
    <w:rsid w:val="007845EC"/>
    <w:rsid w:val="007864F1"/>
    <w:rsid w:val="00787572"/>
    <w:rsid w:val="00790146"/>
    <w:rsid w:val="00795FB7"/>
    <w:rsid w:val="007A081B"/>
    <w:rsid w:val="007A36FA"/>
    <w:rsid w:val="007A512C"/>
    <w:rsid w:val="007A6448"/>
    <w:rsid w:val="007A64C4"/>
    <w:rsid w:val="007B0661"/>
    <w:rsid w:val="007B1561"/>
    <w:rsid w:val="007B376A"/>
    <w:rsid w:val="007B3E85"/>
    <w:rsid w:val="007B6A87"/>
    <w:rsid w:val="007B7599"/>
    <w:rsid w:val="007C0937"/>
    <w:rsid w:val="007C0DD2"/>
    <w:rsid w:val="007C5DA2"/>
    <w:rsid w:val="007D0739"/>
    <w:rsid w:val="007D1435"/>
    <w:rsid w:val="007D490F"/>
    <w:rsid w:val="007D5A1A"/>
    <w:rsid w:val="007D6011"/>
    <w:rsid w:val="007E231D"/>
    <w:rsid w:val="007E4E92"/>
    <w:rsid w:val="007E617E"/>
    <w:rsid w:val="007E71B7"/>
    <w:rsid w:val="007F0F9F"/>
    <w:rsid w:val="007F6F9F"/>
    <w:rsid w:val="0080174E"/>
    <w:rsid w:val="00801AAF"/>
    <w:rsid w:val="00802527"/>
    <w:rsid w:val="00802F78"/>
    <w:rsid w:val="008056C7"/>
    <w:rsid w:val="00805D1F"/>
    <w:rsid w:val="00807E9C"/>
    <w:rsid w:val="00810EB0"/>
    <w:rsid w:val="008126D7"/>
    <w:rsid w:val="00814610"/>
    <w:rsid w:val="0081485A"/>
    <w:rsid w:val="00814FCF"/>
    <w:rsid w:val="00817F99"/>
    <w:rsid w:val="0082039A"/>
    <w:rsid w:val="00821A47"/>
    <w:rsid w:val="008248BF"/>
    <w:rsid w:val="00827E3A"/>
    <w:rsid w:val="0083110B"/>
    <w:rsid w:val="00835067"/>
    <w:rsid w:val="00835252"/>
    <w:rsid w:val="0083533C"/>
    <w:rsid w:val="008371D6"/>
    <w:rsid w:val="00837F16"/>
    <w:rsid w:val="00842ADA"/>
    <w:rsid w:val="00843DB1"/>
    <w:rsid w:val="00845231"/>
    <w:rsid w:val="00845315"/>
    <w:rsid w:val="00850442"/>
    <w:rsid w:val="0085307C"/>
    <w:rsid w:val="0085466C"/>
    <w:rsid w:val="008568F0"/>
    <w:rsid w:val="00856B69"/>
    <w:rsid w:val="00861CA3"/>
    <w:rsid w:val="008635CB"/>
    <w:rsid w:val="0086419B"/>
    <w:rsid w:val="008655C2"/>
    <w:rsid w:val="00867778"/>
    <w:rsid w:val="00867EC0"/>
    <w:rsid w:val="00870F6C"/>
    <w:rsid w:val="0087248E"/>
    <w:rsid w:val="008725B4"/>
    <w:rsid w:val="00873B8F"/>
    <w:rsid w:val="008749C0"/>
    <w:rsid w:val="00874CFA"/>
    <w:rsid w:val="008763F4"/>
    <w:rsid w:val="0088040A"/>
    <w:rsid w:val="008814C5"/>
    <w:rsid w:val="00881AD0"/>
    <w:rsid w:val="0088683C"/>
    <w:rsid w:val="00887FB8"/>
    <w:rsid w:val="00890B12"/>
    <w:rsid w:val="008915C1"/>
    <w:rsid w:val="00891C57"/>
    <w:rsid w:val="00894DEB"/>
    <w:rsid w:val="00896DEE"/>
    <w:rsid w:val="008A0EEE"/>
    <w:rsid w:val="008A18B2"/>
    <w:rsid w:val="008A2EC6"/>
    <w:rsid w:val="008A4BA0"/>
    <w:rsid w:val="008A547B"/>
    <w:rsid w:val="008A5B5F"/>
    <w:rsid w:val="008A7BAA"/>
    <w:rsid w:val="008B16B1"/>
    <w:rsid w:val="008B5194"/>
    <w:rsid w:val="008C0E91"/>
    <w:rsid w:val="008C1260"/>
    <w:rsid w:val="008C244A"/>
    <w:rsid w:val="008D0132"/>
    <w:rsid w:val="008D07DB"/>
    <w:rsid w:val="008D3F2C"/>
    <w:rsid w:val="008D44D2"/>
    <w:rsid w:val="008D56EC"/>
    <w:rsid w:val="008E1EB5"/>
    <w:rsid w:val="008E2590"/>
    <w:rsid w:val="008E312A"/>
    <w:rsid w:val="008E3CF7"/>
    <w:rsid w:val="008E78C4"/>
    <w:rsid w:val="008F092D"/>
    <w:rsid w:val="008F1E60"/>
    <w:rsid w:val="008F2304"/>
    <w:rsid w:val="008F26F3"/>
    <w:rsid w:val="008F31D4"/>
    <w:rsid w:val="008F5EF2"/>
    <w:rsid w:val="008F650E"/>
    <w:rsid w:val="008F7606"/>
    <w:rsid w:val="009029CB"/>
    <w:rsid w:val="009031D3"/>
    <w:rsid w:val="0090572C"/>
    <w:rsid w:val="00907763"/>
    <w:rsid w:val="00912B70"/>
    <w:rsid w:val="00913FEE"/>
    <w:rsid w:val="009206E8"/>
    <w:rsid w:val="0093028D"/>
    <w:rsid w:val="00930909"/>
    <w:rsid w:val="00931C65"/>
    <w:rsid w:val="00931C95"/>
    <w:rsid w:val="009322D7"/>
    <w:rsid w:val="00933DD5"/>
    <w:rsid w:val="009370D6"/>
    <w:rsid w:val="009377F3"/>
    <w:rsid w:val="00943022"/>
    <w:rsid w:val="00943102"/>
    <w:rsid w:val="00943762"/>
    <w:rsid w:val="009442B4"/>
    <w:rsid w:val="00944558"/>
    <w:rsid w:val="00944A40"/>
    <w:rsid w:val="00946399"/>
    <w:rsid w:val="00946A00"/>
    <w:rsid w:val="00946ED9"/>
    <w:rsid w:val="00952244"/>
    <w:rsid w:val="0095226E"/>
    <w:rsid w:val="00960B64"/>
    <w:rsid w:val="009631E3"/>
    <w:rsid w:val="00964143"/>
    <w:rsid w:val="0097219C"/>
    <w:rsid w:val="00972AEF"/>
    <w:rsid w:val="00972F1C"/>
    <w:rsid w:val="00973EB4"/>
    <w:rsid w:val="00975453"/>
    <w:rsid w:val="00976AE9"/>
    <w:rsid w:val="00977A69"/>
    <w:rsid w:val="00977F79"/>
    <w:rsid w:val="00980312"/>
    <w:rsid w:val="00983289"/>
    <w:rsid w:val="00984B31"/>
    <w:rsid w:val="00991D97"/>
    <w:rsid w:val="00992191"/>
    <w:rsid w:val="00992A08"/>
    <w:rsid w:val="0099340B"/>
    <w:rsid w:val="009964A5"/>
    <w:rsid w:val="009A0CA9"/>
    <w:rsid w:val="009A28B5"/>
    <w:rsid w:val="009A5E00"/>
    <w:rsid w:val="009A6FB7"/>
    <w:rsid w:val="009B3AE7"/>
    <w:rsid w:val="009B5DC7"/>
    <w:rsid w:val="009C0094"/>
    <w:rsid w:val="009C7B63"/>
    <w:rsid w:val="009D098F"/>
    <w:rsid w:val="009D10DD"/>
    <w:rsid w:val="009D2D4A"/>
    <w:rsid w:val="009D3464"/>
    <w:rsid w:val="009D4945"/>
    <w:rsid w:val="009E02BA"/>
    <w:rsid w:val="009E0684"/>
    <w:rsid w:val="009E29D1"/>
    <w:rsid w:val="009E3040"/>
    <w:rsid w:val="009E3405"/>
    <w:rsid w:val="009E3A53"/>
    <w:rsid w:val="009E430A"/>
    <w:rsid w:val="009E4E19"/>
    <w:rsid w:val="009E5E04"/>
    <w:rsid w:val="009E6DE3"/>
    <w:rsid w:val="009E76CC"/>
    <w:rsid w:val="009F1948"/>
    <w:rsid w:val="009F3793"/>
    <w:rsid w:val="009F3BED"/>
    <w:rsid w:val="009F59E8"/>
    <w:rsid w:val="009F5C42"/>
    <w:rsid w:val="00A01D3D"/>
    <w:rsid w:val="00A01DCF"/>
    <w:rsid w:val="00A03169"/>
    <w:rsid w:val="00A05F62"/>
    <w:rsid w:val="00A0722A"/>
    <w:rsid w:val="00A0761D"/>
    <w:rsid w:val="00A11996"/>
    <w:rsid w:val="00A12320"/>
    <w:rsid w:val="00A12731"/>
    <w:rsid w:val="00A13D60"/>
    <w:rsid w:val="00A147BB"/>
    <w:rsid w:val="00A14EB3"/>
    <w:rsid w:val="00A15C63"/>
    <w:rsid w:val="00A20B92"/>
    <w:rsid w:val="00A22D58"/>
    <w:rsid w:val="00A23DEF"/>
    <w:rsid w:val="00A25B82"/>
    <w:rsid w:val="00A27541"/>
    <w:rsid w:val="00A3272F"/>
    <w:rsid w:val="00A3532F"/>
    <w:rsid w:val="00A40CF2"/>
    <w:rsid w:val="00A40E59"/>
    <w:rsid w:val="00A43EB6"/>
    <w:rsid w:val="00A45C88"/>
    <w:rsid w:val="00A45D88"/>
    <w:rsid w:val="00A47EE3"/>
    <w:rsid w:val="00A52990"/>
    <w:rsid w:val="00A52A33"/>
    <w:rsid w:val="00A54097"/>
    <w:rsid w:val="00A56C4D"/>
    <w:rsid w:val="00A571F9"/>
    <w:rsid w:val="00A57BB2"/>
    <w:rsid w:val="00A61EFC"/>
    <w:rsid w:val="00A626BF"/>
    <w:rsid w:val="00A648E1"/>
    <w:rsid w:val="00A64B13"/>
    <w:rsid w:val="00A66BCA"/>
    <w:rsid w:val="00A71350"/>
    <w:rsid w:val="00A728F4"/>
    <w:rsid w:val="00A73185"/>
    <w:rsid w:val="00A749D7"/>
    <w:rsid w:val="00A750AE"/>
    <w:rsid w:val="00A759AA"/>
    <w:rsid w:val="00A76CC0"/>
    <w:rsid w:val="00A76FAB"/>
    <w:rsid w:val="00A833EF"/>
    <w:rsid w:val="00A84B21"/>
    <w:rsid w:val="00A860FA"/>
    <w:rsid w:val="00A8697F"/>
    <w:rsid w:val="00A93B7D"/>
    <w:rsid w:val="00A93C85"/>
    <w:rsid w:val="00A9429A"/>
    <w:rsid w:val="00A94CB6"/>
    <w:rsid w:val="00A94F6B"/>
    <w:rsid w:val="00A961ED"/>
    <w:rsid w:val="00A9742B"/>
    <w:rsid w:val="00AA0097"/>
    <w:rsid w:val="00AA34F2"/>
    <w:rsid w:val="00AA64E4"/>
    <w:rsid w:val="00AB1344"/>
    <w:rsid w:val="00AB4174"/>
    <w:rsid w:val="00AB5F5F"/>
    <w:rsid w:val="00AC0AD7"/>
    <w:rsid w:val="00AC3511"/>
    <w:rsid w:val="00AC367F"/>
    <w:rsid w:val="00AC4026"/>
    <w:rsid w:val="00AC779B"/>
    <w:rsid w:val="00AC785C"/>
    <w:rsid w:val="00AD15C9"/>
    <w:rsid w:val="00AD174C"/>
    <w:rsid w:val="00AD1FD7"/>
    <w:rsid w:val="00AD3909"/>
    <w:rsid w:val="00AD47C4"/>
    <w:rsid w:val="00AD5E0E"/>
    <w:rsid w:val="00AE0383"/>
    <w:rsid w:val="00AE1213"/>
    <w:rsid w:val="00AE2FBB"/>
    <w:rsid w:val="00AE57D8"/>
    <w:rsid w:val="00AE6379"/>
    <w:rsid w:val="00AE640B"/>
    <w:rsid w:val="00AF3D9C"/>
    <w:rsid w:val="00AF74BD"/>
    <w:rsid w:val="00B000FE"/>
    <w:rsid w:val="00B012C0"/>
    <w:rsid w:val="00B02841"/>
    <w:rsid w:val="00B0309C"/>
    <w:rsid w:val="00B04E4B"/>
    <w:rsid w:val="00B05A28"/>
    <w:rsid w:val="00B10055"/>
    <w:rsid w:val="00B129A3"/>
    <w:rsid w:val="00B17A50"/>
    <w:rsid w:val="00B20BEE"/>
    <w:rsid w:val="00B2400E"/>
    <w:rsid w:val="00B2673A"/>
    <w:rsid w:val="00B300A6"/>
    <w:rsid w:val="00B31EDF"/>
    <w:rsid w:val="00B32EDC"/>
    <w:rsid w:val="00B34FB4"/>
    <w:rsid w:val="00B35D67"/>
    <w:rsid w:val="00B378E1"/>
    <w:rsid w:val="00B405B6"/>
    <w:rsid w:val="00B42C6C"/>
    <w:rsid w:val="00B439CE"/>
    <w:rsid w:val="00B45139"/>
    <w:rsid w:val="00B4729B"/>
    <w:rsid w:val="00B520A2"/>
    <w:rsid w:val="00B537ED"/>
    <w:rsid w:val="00B53FB3"/>
    <w:rsid w:val="00B56E25"/>
    <w:rsid w:val="00B62745"/>
    <w:rsid w:val="00B63163"/>
    <w:rsid w:val="00B642A6"/>
    <w:rsid w:val="00B65FE0"/>
    <w:rsid w:val="00B72027"/>
    <w:rsid w:val="00B72FC4"/>
    <w:rsid w:val="00B732FE"/>
    <w:rsid w:val="00B764DA"/>
    <w:rsid w:val="00B776FC"/>
    <w:rsid w:val="00B77A5C"/>
    <w:rsid w:val="00B82734"/>
    <w:rsid w:val="00B82A83"/>
    <w:rsid w:val="00B84256"/>
    <w:rsid w:val="00B84328"/>
    <w:rsid w:val="00B851D1"/>
    <w:rsid w:val="00B85462"/>
    <w:rsid w:val="00B862EA"/>
    <w:rsid w:val="00B905C7"/>
    <w:rsid w:val="00B92B40"/>
    <w:rsid w:val="00B959E7"/>
    <w:rsid w:val="00B9704C"/>
    <w:rsid w:val="00B97286"/>
    <w:rsid w:val="00BA0A3B"/>
    <w:rsid w:val="00BA2CD5"/>
    <w:rsid w:val="00BB1CCD"/>
    <w:rsid w:val="00BB2F9D"/>
    <w:rsid w:val="00BB384B"/>
    <w:rsid w:val="00BB7CA7"/>
    <w:rsid w:val="00BC0F43"/>
    <w:rsid w:val="00BC3D6E"/>
    <w:rsid w:val="00BC6047"/>
    <w:rsid w:val="00BD1195"/>
    <w:rsid w:val="00BD136D"/>
    <w:rsid w:val="00BD278F"/>
    <w:rsid w:val="00BD2D7D"/>
    <w:rsid w:val="00BD2E5B"/>
    <w:rsid w:val="00BD4A8C"/>
    <w:rsid w:val="00BD56F3"/>
    <w:rsid w:val="00BD7D1F"/>
    <w:rsid w:val="00BE1D68"/>
    <w:rsid w:val="00BE1FA1"/>
    <w:rsid w:val="00BE3BC4"/>
    <w:rsid w:val="00BE7282"/>
    <w:rsid w:val="00BE72F6"/>
    <w:rsid w:val="00BE7EB1"/>
    <w:rsid w:val="00BF1920"/>
    <w:rsid w:val="00BF4109"/>
    <w:rsid w:val="00BF6652"/>
    <w:rsid w:val="00BF68AF"/>
    <w:rsid w:val="00C01805"/>
    <w:rsid w:val="00C020EE"/>
    <w:rsid w:val="00C039E1"/>
    <w:rsid w:val="00C05472"/>
    <w:rsid w:val="00C07519"/>
    <w:rsid w:val="00C10C07"/>
    <w:rsid w:val="00C170FA"/>
    <w:rsid w:val="00C21D6C"/>
    <w:rsid w:val="00C318A6"/>
    <w:rsid w:val="00C32315"/>
    <w:rsid w:val="00C3262A"/>
    <w:rsid w:val="00C36444"/>
    <w:rsid w:val="00C436E2"/>
    <w:rsid w:val="00C44DFF"/>
    <w:rsid w:val="00C45881"/>
    <w:rsid w:val="00C46DED"/>
    <w:rsid w:val="00C4740C"/>
    <w:rsid w:val="00C558A2"/>
    <w:rsid w:val="00C56946"/>
    <w:rsid w:val="00C57EDD"/>
    <w:rsid w:val="00C629AC"/>
    <w:rsid w:val="00C65ECC"/>
    <w:rsid w:val="00C6768F"/>
    <w:rsid w:val="00C829A0"/>
    <w:rsid w:val="00C84F9D"/>
    <w:rsid w:val="00C8550F"/>
    <w:rsid w:val="00C90074"/>
    <w:rsid w:val="00C97850"/>
    <w:rsid w:val="00CA4235"/>
    <w:rsid w:val="00CA48ED"/>
    <w:rsid w:val="00CA604D"/>
    <w:rsid w:val="00CB0AD3"/>
    <w:rsid w:val="00CB6009"/>
    <w:rsid w:val="00CB615F"/>
    <w:rsid w:val="00CC18EB"/>
    <w:rsid w:val="00CC1E1A"/>
    <w:rsid w:val="00CC5ABF"/>
    <w:rsid w:val="00CC6799"/>
    <w:rsid w:val="00CC6BDB"/>
    <w:rsid w:val="00CD0AF0"/>
    <w:rsid w:val="00CD223D"/>
    <w:rsid w:val="00CD24E9"/>
    <w:rsid w:val="00CD6D09"/>
    <w:rsid w:val="00CE19A8"/>
    <w:rsid w:val="00CE2E9C"/>
    <w:rsid w:val="00CE4537"/>
    <w:rsid w:val="00CE5862"/>
    <w:rsid w:val="00CE647D"/>
    <w:rsid w:val="00CE74DF"/>
    <w:rsid w:val="00CE7A60"/>
    <w:rsid w:val="00CF10DC"/>
    <w:rsid w:val="00CF389A"/>
    <w:rsid w:val="00CF502B"/>
    <w:rsid w:val="00CF5DE0"/>
    <w:rsid w:val="00CF63ED"/>
    <w:rsid w:val="00D122AD"/>
    <w:rsid w:val="00D122D6"/>
    <w:rsid w:val="00D138CE"/>
    <w:rsid w:val="00D13D74"/>
    <w:rsid w:val="00D1579C"/>
    <w:rsid w:val="00D171D2"/>
    <w:rsid w:val="00D2185E"/>
    <w:rsid w:val="00D22B19"/>
    <w:rsid w:val="00D22F0F"/>
    <w:rsid w:val="00D24B22"/>
    <w:rsid w:val="00D2797F"/>
    <w:rsid w:val="00D32C38"/>
    <w:rsid w:val="00D35480"/>
    <w:rsid w:val="00D37882"/>
    <w:rsid w:val="00D462BE"/>
    <w:rsid w:val="00D478EB"/>
    <w:rsid w:val="00D479C0"/>
    <w:rsid w:val="00D5184C"/>
    <w:rsid w:val="00D556C0"/>
    <w:rsid w:val="00D55718"/>
    <w:rsid w:val="00D55B55"/>
    <w:rsid w:val="00D55B97"/>
    <w:rsid w:val="00D569A1"/>
    <w:rsid w:val="00D57DC6"/>
    <w:rsid w:val="00D60557"/>
    <w:rsid w:val="00D609BC"/>
    <w:rsid w:val="00D61985"/>
    <w:rsid w:val="00D63002"/>
    <w:rsid w:val="00D72210"/>
    <w:rsid w:val="00D72BF2"/>
    <w:rsid w:val="00D74DB1"/>
    <w:rsid w:val="00D759BD"/>
    <w:rsid w:val="00D75E08"/>
    <w:rsid w:val="00D76493"/>
    <w:rsid w:val="00D7673B"/>
    <w:rsid w:val="00D77B7D"/>
    <w:rsid w:val="00D80F66"/>
    <w:rsid w:val="00D810EF"/>
    <w:rsid w:val="00D833D2"/>
    <w:rsid w:val="00D857D3"/>
    <w:rsid w:val="00D859CE"/>
    <w:rsid w:val="00D869D0"/>
    <w:rsid w:val="00D90CFD"/>
    <w:rsid w:val="00D91448"/>
    <w:rsid w:val="00D9511F"/>
    <w:rsid w:val="00D9562C"/>
    <w:rsid w:val="00D97C84"/>
    <w:rsid w:val="00DA1E41"/>
    <w:rsid w:val="00DA25F9"/>
    <w:rsid w:val="00DA2E18"/>
    <w:rsid w:val="00DA45FB"/>
    <w:rsid w:val="00DA5030"/>
    <w:rsid w:val="00DA6D02"/>
    <w:rsid w:val="00DA7DFC"/>
    <w:rsid w:val="00DB1C17"/>
    <w:rsid w:val="00DB1DCB"/>
    <w:rsid w:val="00DB3F6A"/>
    <w:rsid w:val="00DB4251"/>
    <w:rsid w:val="00DB45EB"/>
    <w:rsid w:val="00DB474B"/>
    <w:rsid w:val="00DB6191"/>
    <w:rsid w:val="00DC0246"/>
    <w:rsid w:val="00DC0F06"/>
    <w:rsid w:val="00DC2085"/>
    <w:rsid w:val="00DC236B"/>
    <w:rsid w:val="00DC31FF"/>
    <w:rsid w:val="00DC477E"/>
    <w:rsid w:val="00DC684D"/>
    <w:rsid w:val="00DD1A99"/>
    <w:rsid w:val="00DD2ECF"/>
    <w:rsid w:val="00DD45AB"/>
    <w:rsid w:val="00DE11DF"/>
    <w:rsid w:val="00DE3F50"/>
    <w:rsid w:val="00DE7E78"/>
    <w:rsid w:val="00DF1059"/>
    <w:rsid w:val="00DF1248"/>
    <w:rsid w:val="00DF1DE8"/>
    <w:rsid w:val="00DF2899"/>
    <w:rsid w:val="00DF3FB1"/>
    <w:rsid w:val="00E03B5F"/>
    <w:rsid w:val="00E03F39"/>
    <w:rsid w:val="00E04CA2"/>
    <w:rsid w:val="00E04EA9"/>
    <w:rsid w:val="00E07902"/>
    <w:rsid w:val="00E10955"/>
    <w:rsid w:val="00E14A9C"/>
    <w:rsid w:val="00E15DE9"/>
    <w:rsid w:val="00E224D9"/>
    <w:rsid w:val="00E23B98"/>
    <w:rsid w:val="00E25039"/>
    <w:rsid w:val="00E27FE7"/>
    <w:rsid w:val="00E301E5"/>
    <w:rsid w:val="00E31711"/>
    <w:rsid w:val="00E31866"/>
    <w:rsid w:val="00E32EE9"/>
    <w:rsid w:val="00E33322"/>
    <w:rsid w:val="00E3611D"/>
    <w:rsid w:val="00E366C2"/>
    <w:rsid w:val="00E4026E"/>
    <w:rsid w:val="00E41B1D"/>
    <w:rsid w:val="00E44377"/>
    <w:rsid w:val="00E45E6C"/>
    <w:rsid w:val="00E46DD9"/>
    <w:rsid w:val="00E52FA7"/>
    <w:rsid w:val="00E53DBE"/>
    <w:rsid w:val="00E55636"/>
    <w:rsid w:val="00E60FC1"/>
    <w:rsid w:val="00E62DB1"/>
    <w:rsid w:val="00E62DD4"/>
    <w:rsid w:val="00E70F51"/>
    <w:rsid w:val="00E70F96"/>
    <w:rsid w:val="00E72221"/>
    <w:rsid w:val="00E7315D"/>
    <w:rsid w:val="00E765B1"/>
    <w:rsid w:val="00E812D7"/>
    <w:rsid w:val="00E86879"/>
    <w:rsid w:val="00E87B15"/>
    <w:rsid w:val="00E9190D"/>
    <w:rsid w:val="00E91D3A"/>
    <w:rsid w:val="00E942B6"/>
    <w:rsid w:val="00E944B8"/>
    <w:rsid w:val="00E94F6E"/>
    <w:rsid w:val="00EA350F"/>
    <w:rsid w:val="00EA5347"/>
    <w:rsid w:val="00EB1838"/>
    <w:rsid w:val="00EB1DF4"/>
    <w:rsid w:val="00EB4A79"/>
    <w:rsid w:val="00EB4E8A"/>
    <w:rsid w:val="00EB7135"/>
    <w:rsid w:val="00EC0CBB"/>
    <w:rsid w:val="00EC3F51"/>
    <w:rsid w:val="00EC524C"/>
    <w:rsid w:val="00EC7886"/>
    <w:rsid w:val="00EC7A13"/>
    <w:rsid w:val="00EC7CCE"/>
    <w:rsid w:val="00ED012C"/>
    <w:rsid w:val="00ED0301"/>
    <w:rsid w:val="00ED5C7B"/>
    <w:rsid w:val="00ED6021"/>
    <w:rsid w:val="00ED68ED"/>
    <w:rsid w:val="00ED7BCD"/>
    <w:rsid w:val="00EE06E9"/>
    <w:rsid w:val="00EE1192"/>
    <w:rsid w:val="00EE7DBC"/>
    <w:rsid w:val="00EF0542"/>
    <w:rsid w:val="00EF1FA7"/>
    <w:rsid w:val="00EF27AC"/>
    <w:rsid w:val="00EF4D6E"/>
    <w:rsid w:val="00EF5193"/>
    <w:rsid w:val="00EF5AC4"/>
    <w:rsid w:val="00EF67DF"/>
    <w:rsid w:val="00EF7015"/>
    <w:rsid w:val="00F01040"/>
    <w:rsid w:val="00F01A36"/>
    <w:rsid w:val="00F02446"/>
    <w:rsid w:val="00F066EC"/>
    <w:rsid w:val="00F06AAD"/>
    <w:rsid w:val="00F070B6"/>
    <w:rsid w:val="00F07C4A"/>
    <w:rsid w:val="00F10945"/>
    <w:rsid w:val="00F16AA2"/>
    <w:rsid w:val="00F16EF7"/>
    <w:rsid w:val="00F210F8"/>
    <w:rsid w:val="00F21550"/>
    <w:rsid w:val="00F22D21"/>
    <w:rsid w:val="00F30126"/>
    <w:rsid w:val="00F31314"/>
    <w:rsid w:val="00F32DA6"/>
    <w:rsid w:val="00F34607"/>
    <w:rsid w:val="00F37184"/>
    <w:rsid w:val="00F42C8A"/>
    <w:rsid w:val="00F43505"/>
    <w:rsid w:val="00F439D3"/>
    <w:rsid w:val="00F51002"/>
    <w:rsid w:val="00F57DBC"/>
    <w:rsid w:val="00F65767"/>
    <w:rsid w:val="00F720ED"/>
    <w:rsid w:val="00F73F82"/>
    <w:rsid w:val="00F757AF"/>
    <w:rsid w:val="00F75A52"/>
    <w:rsid w:val="00F8441F"/>
    <w:rsid w:val="00F92BF9"/>
    <w:rsid w:val="00F92E0B"/>
    <w:rsid w:val="00F9451C"/>
    <w:rsid w:val="00F96349"/>
    <w:rsid w:val="00FA018B"/>
    <w:rsid w:val="00FA5482"/>
    <w:rsid w:val="00FB42F3"/>
    <w:rsid w:val="00FB6C27"/>
    <w:rsid w:val="00FB6D78"/>
    <w:rsid w:val="00FC0884"/>
    <w:rsid w:val="00FC338B"/>
    <w:rsid w:val="00FC3B00"/>
    <w:rsid w:val="00FC6A05"/>
    <w:rsid w:val="00FC7E3D"/>
    <w:rsid w:val="00FD7271"/>
    <w:rsid w:val="00FE119A"/>
    <w:rsid w:val="00FE15D2"/>
    <w:rsid w:val="00FE3EBB"/>
    <w:rsid w:val="00FE45DA"/>
    <w:rsid w:val="00FE5747"/>
    <w:rsid w:val="00FE5F44"/>
    <w:rsid w:val="00FE6306"/>
    <w:rsid w:val="00FE71F6"/>
    <w:rsid w:val="00FE7D71"/>
    <w:rsid w:val="00FF4535"/>
    <w:rsid w:val="00FF578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FE27D"/>
  <w15:docId w15:val="{2F3F5CB9-BFBA-4268-9448-881C02EE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9E1"/>
  </w:style>
  <w:style w:type="paragraph" w:styleId="Ttulo1">
    <w:name w:val="heading 1"/>
    <w:basedOn w:val="Normal"/>
    <w:link w:val="Ttulo1Car"/>
    <w:uiPriority w:val="1"/>
    <w:qFormat/>
    <w:rsid w:val="00A01DCF"/>
    <w:pPr>
      <w:widowControl w:val="0"/>
      <w:spacing w:before="34" w:after="0" w:line="240" w:lineRule="auto"/>
      <w:ind w:left="822"/>
      <w:outlineLvl w:val="0"/>
    </w:pPr>
    <w:rPr>
      <w:rFonts w:ascii="Calibri" w:eastAsia="Calibri" w:hAnsi="Calibri"/>
      <w:b/>
      <w:bCs/>
      <w:sz w:val="32"/>
      <w:szCs w:val="32"/>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01D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1DCF"/>
  </w:style>
  <w:style w:type="paragraph" w:styleId="Piedepgina">
    <w:name w:val="footer"/>
    <w:basedOn w:val="Normal"/>
    <w:link w:val="PiedepginaCar"/>
    <w:uiPriority w:val="99"/>
    <w:unhideWhenUsed/>
    <w:rsid w:val="00A01D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1DCF"/>
  </w:style>
  <w:style w:type="character" w:customStyle="1" w:styleId="Ttulo1Car">
    <w:name w:val="Título 1 Car"/>
    <w:basedOn w:val="Fuentedeprrafopredeter"/>
    <w:link w:val="Ttulo1"/>
    <w:uiPriority w:val="1"/>
    <w:rsid w:val="00A01DCF"/>
    <w:rPr>
      <w:rFonts w:ascii="Calibri" w:eastAsia="Calibri" w:hAnsi="Calibri"/>
      <w:b/>
      <w:bCs/>
      <w:sz w:val="32"/>
      <w:szCs w:val="32"/>
      <w:lang w:val="en-US"/>
    </w:rPr>
  </w:style>
  <w:style w:type="table" w:customStyle="1" w:styleId="TableNormal">
    <w:name w:val="Table Normal"/>
    <w:uiPriority w:val="2"/>
    <w:semiHidden/>
    <w:unhideWhenUsed/>
    <w:qFormat/>
    <w:rsid w:val="00A01DC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01DCF"/>
    <w:pPr>
      <w:widowControl w:val="0"/>
      <w:spacing w:after="0" w:line="240" w:lineRule="auto"/>
    </w:pPr>
    <w:rPr>
      <w:lang w:val="en-US"/>
    </w:rPr>
  </w:style>
  <w:style w:type="table" w:styleId="Tablaconcuadrcula">
    <w:name w:val="Table Grid"/>
    <w:basedOn w:val="Tablanormal"/>
    <w:uiPriority w:val="39"/>
    <w:rsid w:val="00A93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93C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3C85"/>
    <w:rPr>
      <w:rFonts w:ascii="Segoe UI" w:hAnsi="Segoe UI" w:cs="Segoe UI"/>
      <w:sz w:val="18"/>
      <w:szCs w:val="18"/>
    </w:rPr>
  </w:style>
  <w:style w:type="paragraph" w:styleId="TtuloTDC">
    <w:name w:val="TOC Heading"/>
    <w:basedOn w:val="Ttulo1"/>
    <w:next w:val="Normal"/>
    <w:uiPriority w:val="39"/>
    <w:unhideWhenUsed/>
    <w:qFormat/>
    <w:rsid w:val="00E03B5F"/>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lang w:val="es-CL" w:eastAsia="es-CL"/>
    </w:rPr>
  </w:style>
  <w:style w:type="paragraph" w:styleId="TDC1">
    <w:name w:val="toc 1"/>
    <w:basedOn w:val="Normal"/>
    <w:next w:val="Normal"/>
    <w:autoRedefine/>
    <w:uiPriority w:val="39"/>
    <w:unhideWhenUsed/>
    <w:rsid w:val="00E03B5F"/>
    <w:pPr>
      <w:spacing w:after="100"/>
    </w:pPr>
  </w:style>
  <w:style w:type="character" w:styleId="Hipervnculo">
    <w:name w:val="Hyperlink"/>
    <w:basedOn w:val="Fuentedeprrafopredeter"/>
    <w:uiPriority w:val="99"/>
    <w:unhideWhenUsed/>
    <w:rsid w:val="00E03B5F"/>
    <w:rPr>
      <w:color w:val="0563C1" w:themeColor="hyperlink"/>
      <w:u w:val="single"/>
    </w:rPr>
  </w:style>
  <w:style w:type="paragraph" w:styleId="Prrafodelista">
    <w:name w:val="List Paragraph"/>
    <w:aliases w:val="viñeta proust,viñeta,Viñeta A Alquim,Viñeta A,Párrafo de lista 1,LISTADO,Lista numerada,00 Parrafo GEM,GEM NEW PARRAFO,Titulo 10,Párrafo de lista1,Localidades,Título Tablas y Figuras,Párrafo N 1"/>
    <w:basedOn w:val="Normal"/>
    <w:link w:val="PrrafodelistaCar"/>
    <w:uiPriority w:val="34"/>
    <w:qFormat/>
    <w:rsid w:val="00BD2D7D"/>
    <w:pPr>
      <w:ind w:left="720"/>
      <w:contextualSpacing/>
    </w:pPr>
  </w:style>
  <w:style w:type="paragraph" w:styleId="Sinespaciado">
    <w:name w:val="No Spacing"/>
    <w:uiPriority w:val="1"/>
    <w:qFormat/>
    <w:rsid w:val="00B642A6"/>
    <w:pPr>
      <w:spacing w:after="0" w:line="240" w:lineRule="auto"/>
    </w:pPr>
  </w:style>
  <w:style w:type="paragraph" w:styleId="Descripcin">
    <w:name w:val="caption"/>
    <w:basedOn w:val="Normal"/>
    <w:next w:val="Normal"/>
    <w:unhideWhenUsed/>
    <w:qFormat/>
    <w:rsid w:val="00930909"/>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9631E3"/>
    <w:pPr>
      <w:spacing w:after="0"/>
    </w:pPr>
  </w:style>
  <w:style w:type="table" w:styleId="Tablaconcuadrcula5oscura-nfasis3">
    <w:name w:val="Grid Table 5 Dark Accent 3"/>
    <w:basedOn w:val="Tablanormal"/>
    <w:uiPriority w:val="50"/>
    <w:rsid w:val="00152A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4-nfasis1">
    <w:name w:val="Grid Table 4 Accent 1"/>
    <w:basedOn w:val="Tablanormal"/>
    <w:uiPriority w:val="49"/>
    <w:rsid w:val="00152A6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5">
    <w:name w:val="Grid Table 4 Accent 5"/>
    <w:basedOn w:val="Tablanormal"/>
    <w:uiPriority w:val="49"/>
    <w:rsid w:val="00E361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UBTITULO">
    <w:name w:val="SUBTITULO"/>
    <w:basedOn w:val="Ttulo1"/>
    <w:link w:val="SUBTITULOCar"/>
    <w:qFormat/>
    <w:rsid w:val="008371D6"/>
    <w:pPr>
      <w:numPr>
        <w:ilvl w:val="1"/>
        <w:numId w:val="1"/>
      </w:numPr>
      <w:pBdr>
        <w:bottom w:val="single" w:sz="4" w:space="1" w:color="auto"/>
      </w:pBdr>
      <w:ind w:right="27"/>
      <w:jc w:val="both"/>
    </w:pPr>
    <w:rPr>
      <w:spacing w:val="-2"/>
      <w:lang w:val="es-CL"/>
    </w:rPr>
  </w:style>
  <w:style w:type="character" w:customStyle="1" w:styleId="SUBTITULOCar">
    <w:name w:val="SUBTITULO Car"/>
    <w:basedOn w:val="Ttulo1Car"/>
    <w:link w:val="SUBTITULO"/>
    <w:rsid w:val="008371D6"/>
    <w:rPr>
      <w:rFonts w:ascii="Calibri" w:eastAsia="Calibri" w:hAnsi="Calibri"/>
      <w:b/>
      <w:bCs/>
      <w:spacing w:val="-2"/>
      <w:sz w:val="32"/>
      <w:szCs w:val="32"/>
      <w:lang w:val="en-US"/>
    </w:rPr>
  </w:style>
  <w:style w:type="paragraph" w:customStyle="1" w:styleId="Encabezado1">
    <w:name w:val="Encabezado1"/>
    <w:basedOn w:val="Normal"/>
    <w:autoRedefine/>
    <w:qFormat/>
    <w:rsid w:val="005B662A"/>
    <w:pPr>
      <w:keepNext/>
      <w:spacing w:before="240" w:after="240" w:line="240" w:lineRule="auto"/>
    </w:pPr>
    <w:rPr>
      <w:rFonts w:ascii="Arial" w:eastAsia="Times New Roman" w:hAnsi="Arial" w:cs="Arial"/>
      <w:b/>
      <w:color w:val="2F5496" w:themeColor="accent5" w:themeShade="BF"/>
      <w:sz w:val="28"/>
      <w:szCs w:val="24"/>
      <w:lang w:val="es-ES" w:eastAsia="en-AU"/>
    </w:rPr>
  </w:style>
  <w:style w:type="character" w:customStyle="1" w:styleId="Mencinsinresolver1">
    <w:name w:val="Mención sin resolver1"/>
    <w:basedOn w:val="Fuentedeprrafopredeter"/>
    <w:uiPriority w:val="99"/>
    <w:semiHidden/>
    <w:unhideWhenUsed/>
    <w:rsid w:val="00EF4D6E"/>
    <w:rPr>
      <w:color w:val="605E5C"/>
      <w:shd w:val="clear" w:color="auto" w:fill="E1DFDD"/>
    </w:rPr>
  </w:style>
  <w:style w:type="character" w:customStyle="1" w:styleId="PrrafodelistaCar">
    <w:name w:val="Párrafo de lista Car"/>
    <w:aliases w:val="viñeta proust Car,viñeta Car,Viñeta A Alquim Car,Viñeta A Car,Párrafo de lista 1 Car,LISTADO Car,Lista numerada Car,00 Parrafo GEM Car,GEM NEW PARRAFO Car,Titulo 10 Car,Párrafo de lista1 Car,Localidades Car,Párrafo N 1 Car"/>
    <w:basedOn w:val="Fuentedeprrafopredeter"/>
    <w:link w:val="Prrafodelista"/>
    <w:uiPriority w:val="34"/>
    <w:rsid w:val="00F01A36"/>
  </w:style>
  <w:style w:type="character" w:customStyle="1" w:styleId="Mencinsinresolver2">
    <w:name w:val="Mención sin resolver2"/>
    <w:basedOn w:val="Fuentedeprrafopredeter"/>
    <w:uiPriority w:val="99"/>
    <w:semiHidden/>
    <w:unhideWhenUsed/>
    <w:rsid w:val="00FF5780"/>
    <w:rPr>
      <w:color w:val="605E5C"/>
      <w:shd w:val="clear" w:color="auto" w:fill="E1DFDD"/>
    </w:rPr>
  </w:style>
  <w:style w:type="character" w:customStyle="1" w:styleId="Mencinsinresolver3">
    <w:name w:val="Mención sin resolver3"/>
    <w:basedOn w:val="Fuentedeprrafopredeter"/>
    <w:uiPriority w:val="99"/>
    <w:semiHidden/>
    <w:unhideWhenUsed/>
    <w:rsid w:val="00C326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150">
      <w:bodyDiv w:val="1"/>
      <w:marLeft w:val="0"/>
      <w:marRight w:val="0"/>
      <w:marTop w:val="0"/>
      <w:marBottom w:val="0"/>
      <w:divBdr>
        <w:top w:val="none" w:sz="0" w:space="0" w:color="auto"/>
        <w:left w:val="none" w:sz="0" w:space="0" w:color="auto"/>
        <w:bottom w:val="none" w:sz="0" w:space="0" w:color="auto"/>
        <w:right w:val="none" w:sz="0" w:space="0" w:color="auto"/>
      </w:divBdr>
    </w:div>
    <w:div w:id="24211906">
      <w:bodyDiv w:val="1"/>
      <w:marLeft w:val="0"/>
      <w:marRight w:val="0"/>
      <w:marTop w:val="0"/>
      <w:marBottom w:val="0"/>
      <w:divBdr>
        <w:top w:val="none" w:sz="0" w:space="0" w:color="auto"/>
        <w:left w:val="none" w:sz="0" w:space="0" w:color="auto"/>
        <w:bottom w:val="none" w:sz="0" w:space="0" w:color="auto"/>
        <w:right w:val="none" w:sz="0" w:space="0" w:color="auto"/>
      </w:divBdr>
    </w:div>
    <w:div w:id="26684459">
      <w:bodyDiv w:val="1"/>
      <w:marLeft w:val="0"/>
      <w:marRight w:val="0"/>
      <w:marTop w:val="0"/>
      <w:marBottom w:val="0"/>
      <w:divBdr>
        <w:top w:val="none" w:sz="0" w:space="0" w:color="auto"/>
        <w:left w:val="none" w:sz="0" w:space="0" w:color="auto"/>
        <w:bottom w:val="none" w:sz="0" w:space="0" w:color="auto"/>
        <w:right w:val="none" w:sz="0" w:space="0" w:color="auto"/>
      </w:divBdr>
    </w:div>
    <w:div w:id="32117651">
      <w:bodyDiv w:val="1"/>
      <w:marLeft w:val="0"/>
      <w:marRight w:val="0"/>
      <w:marTop w:val="0"/>
      <w:marBottom w:val="0"/>
      <w:divBdr>
        <w:top w:val="none" w:sz="0" w:space="0" w:color="auto"/>
        <w:left w:val="none" w:sz="0" w:space="0" w:color="auto"/>
        <w:bottom w:val="none" w:sz="0" w:space="0" w:color="auto"/>
        <w:right w:val="none" w:sz="0" w:space="0" w:color="auto"/>
      </w:divBdr>
    </w:div>
    <w:div w:id="41177985">
      <w:bodyDiv w:val="1"/>
      <w:marLeft w:val="0"/>
      <w:marRight w:val="0"/>
      <w:marTop w:val="0"/>
      <w:marBottom w:val="0"/>
      <w:divBdr>
        <w:top w:val="none" w:sz="0" w:space="0" w:color="auto"/>
        <w:left w:val="none" w:sz="0" w:space="0" w:color="auto"/>
        <w:bottom w:val="none" w:sz="0" w:space="0" w:color="auto"/>
        <w:right w:val="none" w:sz="0" w:space="0" w:color="auto"/>
      </w:divBdr>
    </w:div>
    <w:div w:id="53238433">
      <w:bodyDiv w:val="1"/>
      <w:marLeft w:val="0"/>
      <w:marRight w:val="0"/>
      <w:marTop w:val="0"/>
      <w:marBottom w:val="0"/>
      <w:divBdr>
        <w:top w:val="none" w:sz="0" w:space="0" w:color="auto"/>
        <w:left w:val="none" w:sz="0" w:space="0" w:color="auto"/>
        <w:bottom w:val="none" w:sz="0" w:space="0" w:color="auto"/>
        <w:right w:val="none" w:sz="0" w:space="0" w:color="auto"/>
      </w:divBdr>
    </w:div>
    <w:div w:id="121072422">
      <w:bodyDiv w:val="1"/>
      <w:marLeft w:val="0"/>
      <w:marRight w:val="0"/>
      <w:marTop w:val="0"/>
      <w:marBottom w:val="0"/>
      <w:divBdr>
        <w:top w:val="none" w:sz="0" w:space="0" w:color="auto"/>
        <w:left w:val="none" w:sz="0" w:space="0" w:color="auto"/>
        <w:bottom w:val="none" w:sz="0" w:space="0" w:color="auto"/>
        <w:right w:val="none" w:sz="0" w:space="0" w:color="auto"/>
      </w:divBdr>
    </w:div>
    <w:div w:id="166017031">
      <w:bodyDiv w:val="1"/>
      <w:marLeft w:val="0"/>
      <w:marRight w:val="0"/>
      <w:marTop w:val="0"/>
      <w:marBottom w:val="0"/>
      <w:divBdr>
        <w:top w:val="none" w:sz="0" w:space="0" w:color="auto"/>
        <w:left w:val="none" w:sz="0" w:space="0" w:color="auto"/>
        <w:bottom w:val="none" w:sz="0" w:space="0" w:color="auto"/>
        <w:right w:val="none" w:sz="0" w:space="0" w:color="auto"/>
      </w:divBdr>
    </w:div>
    <w:div w:id="168448536">
      <w:bodyDiv w:val="1"/>
      <w:marLeft w:val="0"/>
      <w:marRight w:val="0"/>
      <w:marTop w:val="0"/>
      <w:marBottom w:val="0"/>
      <w:divBdr>
        <w:top w:val="none" w:sz="0" w:space="0" w:color="auto"/>
        <w:left w:val="none" w:sz="0" w:space="0" w:color="auto"/>
        <w:bottom w:val="none" w:sz="0" w:space="0" w:color="auto"/>
        <w:right w:val="none" w:sz="0" w:space="0" w:color="auto"/>
      </w:divBdr>
    </w:div>
    <w:div w:id="192302294">
      <w:bodyDiv w:val="1"/>
      <w:marLeft w:val="0"/>
      <w:marRight w:val="0"/>
      <w:marTop w:val="0"/>
      <w:marBottom w:val="0"/>
      <w:divBdr>
        <w:top w:val="none" w:sz="0" w:space="0" w:color="auto"/>
        <w:left w:val="none" w:sz="0" w:space="0" w:color="auto"/>
        <w:bottom w:val="none" w:sz="0" w:space="0" w:color="auto"/>
        <w:right w:val="none" w:sz="0" w:space="0" w:color="auto"/>
      </w:divBdr>
    </w:div>
    <w:div w:id="218133978">
      <w:bodyDiv w:val="1"/>
      <w:marLeft w:val="0"/>
      <w:marRight w:val="0"/>
      <w:marTop w:val="0"/>
      <w:marBottom w:val="0"/>
      <w:divBdr>
        <w:top w:val="none" w:sz="0" w:space="0" w:color="auto"/>
        <w:left w:val="none" w:sz="0" w:space="0" w:color="auto"/>
        <w:bottom w:val="none" w:sz="0" w:space="0" w:color="auto"/>
        <w:right w:val="none" w:sz="0" w:space="0" w:color="auto"/>
      </w:divBdr>
    </w:div>
    <w:div w:id="222718831">
      <w:bodyDiv w:val="1"/>
      <w:marLeft w:val="0"/>
      <w:marRight w:val="0"/>
      <w:marTop w:val="0"/>
      <w:marBottom w:val="0"/>
      <w:divBdr>
        <w:top w:val="none" w:sz="0" w:space="0" w:color="auto"/>
        <w:left w:val="none" w:sz="0" w:space="0" w:color="auto"/>
        <w:bottom w:val="none" w:sz="0" w:space="0" w:color="auto"/>
        <w:right w:val="none" w:sz="0" w:space="0" w:color="auto"/>
      </w:divBdr>
    </w:div>
    <w:div w:id="237250364">
      <w:bodyDiv w:val="1"/>
      <w:marLeft w:val="0"/>
      <w:marRight w:val="0"/>
      <w:marTop w:val="0"/>
      <w:marBottom w:val="0"/>
      <w:divBdr>
        <w:top w:val="none" w:sz="0" w:space="0" w:color="auto"/>
        <w:left w:val="none" w:sz="0" w:space="0" w:color="auto"/>
        <w:bottom w:val="none" w:sz="0" w:space="0" w:color="auto"/>
        <w:right w:val="none" w:sz="0" w:space="0" w:color="auto"/>
      </w:divBdr>
    </w:div>
    <w:div w:id="240873540">
      <w:bodyDiv w:val="1"/>
      <w:marLeft w:val="0"/>
      <w:marRight w:val="0"/>
      <w:marTop w:val="0"/>
      <w:marBottom w:val="0"/>
      <w:divBdr>
        <w:top w:val="none" w:sz="0" w:space="0" w:color="auto"/>
        <w:left w:val="none" w:sz="0" w:space="0" w:color="auto"/>
        <w:bottom w:val="none" w:sz="0" w:space="0" w:color="auto"/>
        <w:right w:val="none" w:sz="0" w:space="0" w:color="auto"/>
      </w:divBdr>
    </w:div>
    <w:div w:id="242102971">
      <w:bodyDiv w:val="1"/>
      <w:marLeft w:val="0"/>
      <w:marRight w:val="0"/>
      <w:marTop w:val="0"/>
      <w:marBottom w:val="0"/>
      <w:divBdr>
        <w:top w:val="none" w:sz="0" w:space="0" w:color="auto"/>
        <w:left w:val="none" w:sz="0" w:space="0" w:color="auto"/>
        <w:bottom w:val="none" w:sz="0" w:space="0" w:color="auto"/>
        <w:right w:val="none" w:sz="0" w:space="0" w:color="auto"/>
      </w:divBdr>
    </w:div>
    <w:div w:id="254368660">
      <w:bodyDiv w:val="1"/>
      <w:marLeft w:val="0"/>
      <w:marRight w:val="0"/>
      <w:marTop w:val="0"/>
      <w:marBottom w:val="0"/>
      <w:divBdr>
        <w:top w:val="none" w:sz="0" w:space="0" w:color="auto"/>
        <w:left w:val="none" w:sz="0" w:space="0" w:color="auto"/>
        <w:bottom w:val="none" w:sz="0" w:space="0" w:color="auto"/>
        <w:right w:val="none" w:sz="0" w:space="0" w:color="auto"/>
      </w:divBdr>
    </w:div>
    <w:div w:id="255359921">
      <w:bodyDiv w:val="1"/>
      <w:marLeft w:val="0"/>
      <w:marRight w:val="0"/>
      <w:marTop w:val="0"/>
      <w:marBottom w:val="0"/>
      <w:divBdr>
        <w:top w:val="none" w:sz="0" w:space="0" w:color="auto"/>
        <w:left w:val="none" w:sz="0" w:space="0" w:color="auto"/>
        <w:bottom w:val="none" w:sz="0" w:space="0" w:color="auto"/>
        <w:right w:val="none" w:sz="0" w:space="0" w:color="auto"/>
      </w:divBdr>
    </w:div>
    <w:div w:id="288630475">
      <w:bodyDiv w:val="1"/>
      <w:marLeft w:val="0"/>
      <w:marRight w:val="0"/>
      <w:marTop w:val="0"/>
      <w:marBottom w:val="0"/>
      <w:divBdr>
        <w:top w:val="none" w:sz="0" w:space="0" w:color="auto"/>
        <w:left w:val="none" w:sz="0" w:space="0" w:color="auto"/>
        <w:bottom w:val="none" w:sz="0" w:space="0" w:color="auto"/>
        <w:right w:val="none" w:sz="0" w:space="0" w:color="auto"/>
      </w:divBdr>
    </w:div>
    <w:div w:id="313146259">
      <w:bodyDiv w:val="1"/>
      <w:marLeft w:val="0"/>
      <w:marRight w:val="0"/>
      <w:marTop w:val="0"/>
      <w:marBottom w:val="0"/>
      <w:divBdr>
        <w:top w:val="none" w:sz="0" w:space="0" w:color="auto"/>
        <w:left w:val="none" w:sz="0" w:space="0" w:color="auto"/>
        <w:bottom w:val="none" w:sz="0" w:space="0" w:color="auto"/>
        <w:right w:val="none" w:sz="0" w:space="0" w:color="auto"/>
      </w:divBdr>
    </w:div>
    <w:div w:id="316492167">
      <w:bodyDiv w:val="1"/>
      <w:marLeft w:val="0"/>
      <w:marRight w:val="0"/>
      <w:marTop w:val="0"/>
      <w:marBottom w:val="0"/>
      <w:divBdr>
        <w:top w:val="none" w:sz="0" w:space="0" w:color="auto"/>
        <w:left w:val="none" w:sz="0" w:space="0" w:color="auto"/>
        <w:bottom w:val="none" w:sz="0" w:space="0" w:color="auto"/>
        <w:right w:val="none" w:sz="0" w:space="0" w:color="auto"/>
      </w:divBdr>
    </w:div>
    <w:div w:id="321128026">
      <w:bodyDiv w:val="1"/>
      <w:marLeft w:val="0"/>
      <w:marRight w:val="0"/>
      <w:marTop w:val="0"/>
      <w:marBottom w:val="0"/>
      <w:divBdr>
        <w:top w:val="none" w:sz="0" w:space="0" w:color="auto"/>
        <w:left w:val="none" w:sz="0" w:space="0" w:color="auto"/>
        <w:bottom w:val="none" w:sz="0" w:space="0" w:color="auto"/>
        <w:right w:val="none" w:sz="0" w:space="0" w:color="auto"/>
      </w:divBdr>
    </w:div>
    <w:div w:id="323827048">
      <w:bodyDiv w:val="1"/>
      <w:marLeft w:val="0"/>
      <w:marRight w:val="0"/>
      <w:marTop w:val="0"/>
      <w:marBottom w:val="0"/>
      <w:divBdr>
        <w:top w:val="none" w:sz="0" w:space="0" w:color="auto"/>
        <w:left w:val="none" w:sz="0" w:space="0" w:color="auto"/>
        <w:bottom w:val="none" w:sz="0" w:space="0" w:color="auto"/>
        <w:right w:val="none" w:sz="0" w:space="0" w:color="auto"/>
      </w:divBdr>
    </w:div>
    <w:div w:id="324407245">
      <w:bodyDiv w:val="1"/>
      <w:marLeft w:val="0"/>
      <w:marRight w:val="0"/>
      <w:marTop w:val="0"/>
      <w:marBottom w:val="0"/>
      <w:divBdr>
        <w:top w:val="none" w:sz="0" w:space="0" w:color="auto"/>
        <w:left w:val="none" w:sz="0" w:space="0" w:color="auto"/>
        <w:bottom w:val="none" w:sz="0" w:space="0" w:color="auto"/>
        <w:right w:val="none" w:sz="0" w:space="0" w:color="auto"/>
      </w:divBdr>
    </w:div>
    <w:div w:id="325090103">
      <w:bodyDiv w:val="1"/>
      <w:marLeft w:val="0"/>
      <w:marRight w:val="0"/>
      <w:marTop w:val="0"/>
      <w:marBottom w:val="0"/>
      <w:divBdr>
        <w:top w:val="none" w:sz="0" w:space="0" w:color="auto"/>
        <w:left w:val="none" w:sz="0" w:space="0" w:color="auto"/>
        <w:bottom w:val="none" w:sz="0" w:space="0" w:color="auto"/>
        <w:right w:val="none" w:sz="0" w:space="0" w:color="auto"/>
      </w:divBdr>
    </w:div>
    <w:div w:id="340354806">
      <w:bodyDiv w:val="1"/>
      <w:marLeft w:val="0"/>
      <w:marRight w:val="0"/>
      <w:marTop w:val="0"/>
      <w:marBottom w:val="0"/>
      <w:divBdr>
        <w:top w:val="none" w:sz="0" w:space="0" w:color="auto"/>
        <w:left w:val="none" w:sz="0" w:space="0" w:color="auto"/>
        <w:bottom w:val="none" w:sz="0" w:space="0" w:color="auto"/>
        <w:right w:val="none" w:sz="0" w:space="0" w:color="auto"/>
      </w:divBdr>
    </w:div>
    <w:div w:id="380785829">
      <w:bodyDiv w:val="1"/>
      <w:marLeft w:val="0"/>
      <w:marRight w:val="0"/>
      <w:marTop w:val="0"/>
      <w:marBottom w:val="0"/>
      <w:divBdr>
        <w:top w:val="none" w:sz="0" w:space="0" w:color="auto"/>
        <w:left w:val="none" w:sz="0" w:space="0" w:color="auto"/>
        <w:bottom w:val="none" w:sz="0" w:space="0" w:color="auto"/>
        <w:right w:val="none" w:sz="0" w:space="0" w:color="auto"/>
      </w:divBdr>
    </w:div>
    <w:div w:id="393549599">
      <w:bodyDiv w:val="1"/>
      <w:marLeft w:val="0"/>
      <w:marRight w:val="0"/>
      <w:marTop w:val="0"/>
      <w:marBottom w:val="0"/>
      <w:divBdr>
        <w:top w:val="none" w:sz="0" w:space="0" w:color="auto"/>
        <w:left w:val="none" w:sz="0" w:space="0" w:color="auto"/>
        <w:bottom w:val="none" w:sz="0" w:space="0" w:color="auto"/>
        <w:right w:val="none" w:sz="0" w:space="0" w:color="auto"/>
      </w:divBdr>
    </w:div>
    <w:div w:id="403450971">
      <w:bodyDiv w:val="1"/>
      <w:marLeft w:val="0"/>
      <w:marRight w:val="0"/>
      <w:marTop w:val="0"/>
      <w:marBottom w:val="0"/>
      <w:divBdr>
        <w:top w:val="none" w:sz="0" w:space="0" w:color="auto"/>
        <w:left w:val="none" w:sz="0" w:space="0" w:color="auto"/>
        <w:bottom w:val="none" w:sz="0" w:space="0" w:color="auto"/>
        <w:right w:val="none" w:sz="0" w:space="0" w:color="auto"/>
      </w:divBdr>
    </w:div>
    <w:div w:id="438108805">
      <w:bodyDiv w:val="1"/>
      <w:marLeft w:val="0"/>
      <w:marRight w:val="0"/>
      <w:marTop w:val="0"/>
      <w:marBottom w:val="0"/>
      <w:divBdr>
        <w:top w:val="none" w:sz="0" w:space="0" w:color="auto"/>
        <w:left w:val="none" w:sz="0" w:space="0" w:color="auto"/>
        <w:bottom w:val="none" w:sz="0" w:space="0" w:color="auto"/>
        <w:right w:val="none" w:sz="0" w:space="0" w:color="auto"/>
      </w:divBdr>
    </w:div>
    <w:div w:id="464851921">
      <w:bodyDiv w:val="1"/>
      <w:marLeft w:val="0"/>
      <w:marRight w:val="0"/>
      <w:marTop w:val="0"/>
      <w:marBottom w:val="0"/>
      <w:divBdr>
        <w:top w:val="none" w:sz="0" w:space="0" w:color="auto"/>
        <w:left w:val="none" w:sz="0" w:space="0" w:color="auto"/>
        <w:bottom w:val="none" w:sz="0" w:space="0" w:color="auto"/>
        <w:right w:val="none" w:sz="0" w:space="0" w:color="auto"/>
      </w:divBdr>
    </w:div>
    <w:div w:id="468934402">
      <w:bodyDiv w:val="1"/>
      <w:marLeft w:val="0"/>
      <w:marRight w:val="0"/>
      <w:marTop w:val="0"/>
      <w:marBottom w:val="0"/>
      <w:divBdr>
        <w:top w:val="none" w:sz="0" w:space="0" w:color="auto"/>
        <w:left w:val="none" w:sz="0" w:space="0" w:color="auto"/>
        <w:bottom w:val="none" w:sz="0" w:space="0" w:color="auto"/>
        <w:right w:val="none" w:sz="0" w:space="0" w:color="auto"/>
      </w:divBdr>
    </w:div>
    <w:div w:id="476842984">
      <w:bodyDiv w:val="1"/>
      <w:marLeft w:val="0"/>
      <w:marRight w:val="0"/>
      <w:marTop w:val="0"/>
      <w:marBottom w:val="0"/>
      <w:divBdr>
        <w:top w:val="none" w:sz="0" w:space="0" w:color="auto"/>
        <w:left w:val="none" w:sz="0" w:space="0" w:color="auto"/>
        <w:bottom w:val="none" w:sz="0" w:space="0" w:color="auto"/>
        <w:right w:val="none" w:sz="0" w:space="0" w:color="auto"/>
      </w:divBdr>
    </w:div>
    <w:div w:id="484667011">
      <w:bodyDiv w:val="1"/>
      <w:marLeft w:val="0"/>
      <w:marRight w:val="0"/>
      <w:marTop w:val="0"/>
      <w:marBottom w:val="0"/>
      <w:divBdr>
        <w:top w:val="none" w:sz="0" w:space="0" w:color="auto"/>
        <w:left w:val="none" w:sz="0" w:space="0" w:color="auto"/>
        <w:bottom w:val="none" w:sz="0" w:space="0" w:color="auto"/>
        <w:right w:val="none" w:sz="0" w:space="0" w:color="auto"/>
      </w:divBdr>
    </w:div>
    <w:div w:id="489835044">
      <w:bodyDiv w:val="1"/>
      <w:marLeft w:val="0"/>
      <w:marRight w:val="0"/>
      <w:marTop w:val="0"/>
      <w:marBottom w:val="0"/>
      <w:divBdr>
        <w:top w:val="none" w:sz="0" w:space="0" w:color="auto"/>
        <w:left w:val="none" w:sz="0" w:space="0" w:color="auto"/>
        <w:bottom w:val="none" w:sz="0" w:space="0" w:color="auto"/>
        <w:right w:val="none" w:sz="0" w:space="0" w:color="auto"/>
      </w:divBdr>
    </w:div>
    <w:div w:id="492649946">
      <w:bodyDiv w:val="1"/>
      <w:marLeft w:val="0"/>
      <w:marRight w:val="0"/>
      <w:marTop w:val="0"/>
      <w:marBottom w:val="0"/>
      <w:divBdr>
        <w:top w:val="none" w:sz="0" w:space="0" w:color="auto"/>
        <w:left w:val="none" w:sz="0" w:space="0" w:color="auto"/>
        <w:bottom w:val="none" w:sz="0" w:space="0" w:color="auto"/>
        <w:right w:val="none" w:sz="0" w:space="0" w:color="auto"/>
      </w:divBdr>
    </w:div>
    <w:div w:id="513156165">
      <w:bodyDiv w:val="1"/>
      <w:marLeft w:val="0"/>
      <w:marRight w:val="0"/>
      <w:marTop w:val="0"/>
      <w:marBottom w:val="0"/>
      <w:divBdr>
        <w:top w:val="none" w:sz="0" w:space="0" w:color="auto"/>
        <w:left w:val="none" w:sz="0" w:space="0" w:color="auto"/>
        <w:bottom w:val="none" w:sz="0" w:space="0" w:color="auto"/>
        <w:right w:val="none" w:sz="0" w:space="0" w:color="auto"/>
      </w:divBdr>
    </w:div>
    <w:div w:id="540820906">
      <w:bodyDiv w:val="1"/>
      <w:marLeft w:val="0"/>
      <w:marRight w:val="0"/>
      <w:marTop w:val="0"/>
      <w:marBottom w:val="0"/>
      <w:divBdr>
        <w:top w:val="none" w:sz="0" w:space="0" w:color="auto"/>
        <w:left w:val="none" w:sz="0" w:space="0" w:color="auto"/>
        <w:bottom w:val="none" w:sz="0" w:space="0" w:color="auto"/>
        <w:right w:val="none" w:sz="0" w:space="0" w:color="auto"/>
      </w:divBdr>
    </w:div>
    <w:div w:id="567228360">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3931256">
      <w:bodyDiv w:val="1"/>
      <w:marLeft w:val="0"/>
      <w:marRight w:val="0"/>
      <w:marTop w:val="0"/>
      <w:marBottom w:val="0"/>
      <w:divBdr>
        <w:top w:val="none" w:sz="0" w:space="0" w:color="auto"/>
        <w:left w:val="none" w:sz="0" w:space="0" w:color="auto"/>
        <w:bottom w:val="none" w:sz="0" w:space="0" w:color="auto"/>
        <w:right w:val="none" w:sz="0" w:space="0" w:color="auto"/>
      </w:divBdr>
    </w:div>
    <w:div w:id="596064891">
      <w:bodyDiv w:val="1"/>
      <w:marLeft w:val="0"/>
      <w:marRight w:val="0"/>
      <w:marTop w:val="0"/>
      <w:marBottom w:val="0"/>
      <w:divBdr>
        <w:top w:val="none" w:sz="0" w:space="0" w:color="auto"/>
        <w:left w:val="none" w:sz="0" w:space="0" w:color="auto"/>
        <w:bottom w:val="none" w:sz="0" w:space="0" w:color="auto"/>
        <w:right w:val="none" w:sz="0" w:space="0" w:color="auto"/>
      </w:divBdr>
    </w:div>
    <w:div w:id="600375302">
      <w:bodyDiv w:val="1"/>
      <w:marLeft w:val="0"/>
      <w:marRight w:val="0"/>
      <w:marTop w:val="0"/>
      <w:marBottom w:val="0"/>
      <w:divBdr>
        <w:top w:val="none" w:sz="0" w:space="0" w:color="auto"/>
        <w:left w:val="none" w:sz="0" w:space="0" w:color="auto"/>
        <w:bottom w:val="none" w:sz="0" w:space="0" w:color="auto"/>
        <w:right w:val="none" w:sz="0" w:space="0" w:color="auto"/>
      </w:divBdr>
    </w:div>
    <w:div w:id="611401406">
      <w:bodyDiv w:val="1"/>
      <w:marLeft w:val="0"/>
      <w:marRight w:val="0"/>
      <w:marTop w:val="0"/>
      <w:marBottom w:val="0"/>
      <w:divBdr>
        <w:top w:val="none" w:sz="0" w:space="0" w:color="auto"/>
        <w:left w:val="none" w:sz="0" w:space="0" w:color="auto"/>
        <w:bottom w:val="none" w:sz="0" w:space="0" w:color="auto"/>
        <w:right w:val="none" w:sz="0" w:space="0" w:color="auto"/>
      </w:divBdr>
    </w:div>
    <w:div w:id="620654019">
      <w:bodyDiv w:val="1"/>
      <w:marLeft w:val="0"/>
      <w:marRight w:val="0"/>
      <w:marTop w:val="0"/>
      <w:marBottom w:val="0"/>
      <w:divBdr>
        <w:top w:val="none" w:sz="0" w:space="0" w:color="auto"/>
        <w:left w:val="none" w:sz="0" w:space="0" w:color="auto"/>
        <w:bottom w:val="none" w:sz="0" w:space="0" w:color="auto"/>
        <w:right w:val="none" w:sz="0" w:space="0" w:color="auto"/>
      </w:divBdr>
    </w:div>
    <w:div w:id="624580569">
      <w:bodyDiv w:val="1"/>
      <w:marLeft w:val="0"/>
      <w:marRight w:val="0"/>
      <w:marTop w:val="0"/>
      <w:marBottom w:val="0"/>
      <w:divBdr>
        <w:top w:val="none" w:sz="0" w:space="0" w:color="auto"/>
        <w:left w:val="none" w:sz="0" w:space="0" w:color="auto"/>
        <w:bottom w:val="none" w:sz="0" w:space="0" w:color="auto"/>
        <w:right w:val="none" w:sz="0" w:space="0" w:color="auto"/>
      </w:divBdr>
    </w:div>
    <w:div w:id="646477622">
      <w:bodyDiv w:val="1"/>
      <w:marLeft w:val="0"/>
      <w:marRight w:val="0"/>
      <w:marTop w:val="0"/>
      <w:marBottom w:val="0"/>
      <w:divBdr>
        <w:top w:val="none" w:sz="0" w:space="0" w:color="auto"/>
        <w:left w:val="none" w:sz="0" w:space="0" w:color="auto"/>
        <w:bottom w:val="none" w:sz="0" w:space="0" w:color="auto"/>
        <w:right w:val="none" w:sz="0" w:space="0" w:color="auto"/>
      </w:divBdr>
    </w:div>
    <w:div w:id="669214898">
      <w:bodyDiv w:val="1"/>
      <w:marLeft w:val="0"/>
      <w:marRight w:val="0"/>
      <w:marTop w:val="0"/>
      <w:marBottom w:val="0"/>
      <w:divBdr>
        <w:top w:val="none" w:sz="0" w:space="0" w:color="auto"/>
        <w:left w:val="none" w:sz="0" w:space="0" w:color="auto"/>
        <w:bottom w:val="none" w:sz="0" w:space="0" w:color="auto"/>
        <w:right w:val="none" w:sz="0" w:space="0" w:color="auto"/>
      </w:divBdr>
    </w:div>
    <w:div w:id="669411127">
      <w:bodyDiv w:val="1"/>
      <w:marLeft w:val="0"/>
      <w:marRight w:val="0"/>
      <w:marTop w:val="0"/>
      <w:marBottom w:val="0"/>
      <w:divBdr>
        <w:top w:val="none" w:sz="0" w:space="0" w:color="auto"/>
        <w:left w:val="none" w:sz="0" w:space="0" w:color="auto"/>
        <w:bottom w:val="none" w:sz="0" w:space="0" w:color="auto"/>
        <w:right w:val="none" w:sz="0" w:space="0" w:color="auto"/>
      </w:divBdr>
    </w:div>
    <w:div w:id="672800522">
      <w:bodyDiv w:val="1"/>
      <w:marLeft w:val="0"/>
      <w:marRight w:val="0"/>
      <w:marTop w:val="0"/>
      <w:marBottom w:val="0"/>
      <w:divBdr>
        <w:top w:val="none" w:sz="0" w:space="0" w:color="auto"/>
        <w:left w:val="none" w:sz="0" w:space="0" w:color="auto"/>
        <w:bottom w:val="none" w:sz="0" w:space="0" w:color="auto"/>
        <w:right w:val="none" w:sz="0" w:space="0" w:color="auto"/>
      </w:divBdr>
    </w:div>
    <w:div w:id="675115418">
      <w:bodyDiv w:val="1"/>
      <w:marLeft w:val="0"/>
      <w:marRight w:val="0"/>
      <w:marTop w:val="0"/>
      <w:marBottom w:val="0"/>
      <w:divBdr>
        <w:top w:val="none" w:sz="0" w:space="0" w:color="auto"/>
        <w:left w:val="none" w:sz="0" w:space="0" w:color="auto"/>
        <w:bottom w:val="none" w:sz="0" w:space="0" w:color="auto"/>
        <w:right w:val="none" w:sz="0" w:space="0" w:color="auto"/>
      </w:divBdr>
    </w:div>
    <w:div w:id="690377908">
      <w:bodyDiv w:val="1"/>
      <w:marLeft w:val="0"/>
      <w:marRight w:val="0"/>
      <w:marTop w:val="0"/>
      <w:marBottom w:val="0"/>
      <w:divBdr>
        <w:top w:val="none" w:sz="0" w:space="0" w:color="auto"/>
        <w:left w:val="none" w:sz="0" w:space="0" w:color="auto"/>
        <w:bottom w:val="none" w:sz="0" w:space="0" w:color="auto"/>
        <w:right w:val="none" w:sz="0" w:space="0" w:color="auto"/>
      </w:divBdr>
    </w:div>
    <w:div w:id="739908478">
      <w:bodyDiv w:val="1"/>
      <w:marLeft w:val="0"/>
      <w:marRight w:val="0"/>
      <w:marTop w:val="0"/>
      <w:marBottom w:val="0"/>
      <w:divBdr>
        <w:top w:val="none" w:sz="0" w:space="0" w:color="auto"/>
        <w:left w:val="none" w:sz="0" w:space="0" w:color="auto"/>
        <w:bottom w:val="none" w:sz="0" w:space="0" w:color="auto"/>
        <w:right w:val="none" w:sz="0" w:space="0" w:color="auto"/>
      </w:divBdr>
    </w:div>
    <w:div w:id="741563884">
      <w:bodyDiv w:val="1"/>
      <w:marLeft w:val="0"/>
      <w:marRight w:val="0"/>
      <w:marTop w:val="0"/>
      <w:marBottom w:val="0"/>
      <w:divBdr>
        <w:top w:val="none" w:sz="0" w:space="0" w:color="auto"/>
        <w:left w:val="none" w:sz="0" w:space="0" w:color="auto"/>
        <w:bottom w:val="none" w:sz="0" w:space="0" w:color="auto"/>
        <w:right w:val="none" w:sz="0" w:space="0" w:color="auto"/>
      </w:divBdr>
    </w:div>
    <w:div w:id="761610153">
      <w:bodyDiv w:val="1"/>
      <w:marLeft w:val="0"/>
      <w:marRight w:val="0"/>
      <w:marTop w:val="0"/>
      <w:marBottom w:val="0"/>
      <w:divBdr>
        <w:top w:val="none" w:sz="0" w:space="0" w:color="auto"/>
        <w:left w:val="none" w:sz="0" w:space="0" w:color="auto"/>
        <w:bottom w:val="none" w:sz="0" w:space="0" w:color="auto"/>
        <w:right w:val="none" w:sz="0" w:space="0" w:color="auto"/>
      </w:divBdr>
    </w:div>
    <w:div w:id="763189285">
      <w:bodyDiv w:val="1"/>
      <w:marLeft w:val="0"/>
      <w:marRight w:val="0"/>
      <w:marTop w:val="0"/>
      <w:marBottom w:val="0"/>
      <w:divBdr>
        <w:top w:val="none" w:sz="0" w:space="0" w:color="auto"/>
        <w:left w:val="none" w:sz="0" w:space="0" w:color="auto"/>
        <w:bottom w:val="none" w:sz="0" w:space="0" w:color="auto"/>
        <w:right w:val="none" w:sz="0" w:space="0" w:color="auto"/>
      </w:divBdr>
    </w:div>
    <w:div w:id="816455940">
      <w:bodyDiv w:val="1"/>
      <w:marLeft w:val="0"/>
      <w:marRight w:val="0"/>
      <w:marTop w:val="0"/>
      <w:marBottom w:val="0"/>
      <w:divBdr>
        <w:top w:val="none" w:sz="0" w:space="0" w:color="auto"/>
        <w:left w:val="none" w:sz="0" w:space="0" w:color="auto"/>
        <w:bottom w:val="none" w:sz="0" w:space="0" w:color="auto"/>
        <w:right w:val="none" w:sz="0" w:space="0" w:color="auto"/>
      </w:divBdr>
    </w:div>
    <w:div w:id="820735828">
      <w:bodyDiv w:val="1"/>
      <w:marLeft w:val="0"/>
      <w:marRight w:val="0"/>
      <w:marTop w:val="0"/>
      <w:marBottom w:val="0"/>
      <w:divBdr>
        <w:top w:val="none" w:sz="0" w:space="0" w:color="auto"/>
        <w:left w:val="none" w:sz="0" w:space="0" w:color="auto"/>
        <w:bottom w:val="none" w:sz="0" w:space="0" w:color="auto"/>
        <w:right w:val="none" w:sz="0" w:space="0" w:color="auto"/>
      </w:divBdr>
    </w:div>
    <w:div w:id="831717516">
      <w:bodyDiv w:val="1"/>
      <w:marLeft w:val="0"/>
      <w:marRight w:val="0"/>
      <w:marTop w:val="0"/>
      <w:marBottom w:val="0"/>
      <w:divBdr>
        <w:top w:val="none" w:sz="0" w:space="0" w:color="auto"/>
        <w:left w:val="none" w:sz="0" w:space="0" w:color="auto"/>
        <w:bottom w:val="none" w:sz="0" w:space="0" w:color="auto"/>
        <w:right w:val="none" w:sz="0" w:space="0" w:color="auto"/>
      </w:divBdr>
    </w:div>
    <w:div w:id="834147716">
      <w:bodyDiv w:val="1"/>
      <w:marLeft w:val="0"/>
      <w:marRight w:val="0"/>
      <w:marTop w:val="0"/>
      <w:marBottom w:val="0"/>
      <w:divBdr>
        <w:top w:val="none" w:sz="0" w:space="0" w:color="auto"/>
        <w:left w:val="none" w:sz="0" w:space="0" w:color="auto"/>
        <w:bottom w:val="none" w:sz="0" w:space="0" w:color="auto"/>
        <w:right w:val="none" w:sz="0" w:space="0" w:color="auto"/>
      </w:divBdr>
    </w:div>
    <w:div w:id="845905580">
      <w:bodyDiv w:val="1"/>
      <w:marLeft w:val="0"/>
      <w:marRight w:val="0"/>
      <w:marTop w:val="0"/>
      <w:marBottom w:val="0"/>
      <w:divBdr>
        <w:top w:val="none" w:sz="0" w:space="0" w:color="auto"/>
        <w:left w:val="none" w:sz="0" w:space="0" w:color="auto"/>
        <w:bottom w:val="none" w:sz="0" w:space="0" w:color="auto"/>
        <w:right w:val="none" w:sz="0" w:space="0" w:color="auto"/>
      </w:divBdr>
    </w:div>
    <w:div w:id="861557868">
      <w:bodyDiv w:val="1"/>
      <w:marLeft w:val="0"/>
      <w:marRight w:val="0"/>
      <w:marTop w:val="0"/>
      <w:marBottom w:val="0"/>
      <w:divBdr>
        <w:top w:val="none" w:sz="0" w:space="0" w:color="auto"/>
        <w:left w:val="none" w:sz="0" w:space="0" w:color="auto"/>
        <w:bottom w:val="none" w:sz="0" w:space="0" w:color="auto"/>
        <w:right w:val="none" w:sz="0" w:space="0" w:color="auto"/>
      </w:divBdr>
    </w:div>
    <w:div w:id="864364171">
      <w:bodyDiv w:val="1"/>
      <w:marLeft w:val="0"/>
      <w:marRight w:val="0"/>
      <w:marTop w:val="0"/>
      <w:marBottom w:val="0"/>
      <w:divBdr>
        <w:top w:val="none" w:sz="0" w:space="0" w:color="auto"/>
        <w:left w:val="none" w:sz="0" w:space="0" w:color="auto"/>
        <w:bottom w:val="none" w:sz="0" w:space="0" w:color="auto"/>
        <w:right w:val="none" w:sz="0" w:space="0" w:color="auto"/>
      </w:divBdr>
    </w:div>
    <w:div w:id="865369255">
      <w:bodyDiv w:val="1"/>
      <w:marLeft w:val="0"/>
      <w:marRight w:val="0"/>
      <w:marTop w:val="0"/>
      <w:marBottom w:val="0"/>
      <w:divBdr>
        <w:top w:val="none" w:sz="0" w:space="0" w:color="auto"/>
        <w:left w:val="none" w:sz="0" w:space="0" w:color="auto"/>
        <w:bottom w:val="none" w:sz="0" w:space="0" w:color="auto"/>
        <w:right w:val="none" w:sz="0" w:space="0" w:color="auto"/>
      </w:divBdr>
    </w:div>
    <w:div w:id="870073219">
      <w:bodyDiv w:val="1"/>
      <w:marLeft w:val="0"/>
      <w:marRight w:val="0"/>
      <w:marTop w:val="0"/>
      <w:marBottom w:val="0"/>
      <w:divBdr>
        <w:top w:val="none" w:sz="0" w:space="0" w:color="auto"/>
        <w:left w:val="none" w:sz="0" w:space="0" w:color="auto"/>
        <w:bottom w:val="none" w:sz="0" w:space="0" w:color="auto"/>
        <w:right w:val="none" w:sz="0" w:space="0" w:color="auto"/>
      </w:divBdr>
    </w:div>
    <w:div w:id="915431682">
      <w:bodyDiv w:val="1"/>
      <w:marLeft w:val="0"/>
      <w:marRight w:val="0"/>
      <w:marTop w:val="0"/>
      <w:marBottom w:val="0"/>
      <w:divBdr>
        <w:top w:val="none" w:sz="0" w:space="0" w:color="auto"/>
        <w:left w:val="none" w:sz="0" w:space="0" w:color="auto"/>
        <w:bottom w:val="none" w:sz="0" w:space="0" w:color="auto"/>
        <w:right w:val="none" w:sz="0" w:space="0" w:color="auto"/>
      </w:divBdr>
    </w:div>
    <w:div w:id="942692779">
      <w:bodyDiv w:val="1"/>
      <w:marLeft w:val="0"/>
      <w:marRight w:val="0"/>
      <w:marTop w:val="0"/>
      <w:marBottom w:val="0"/>
      <w:divBdr>
        <w:top w:val="none" w:sz="0" w:space="0" w:color="auto"/>
        <w:left w:val="none" w:sz="0" w:space="0" w:color="auto"/>
        <w:bottom w:val="none" w:sz="0" w:space="0" w:color="auto"/>
        <w:right w:val="none" w:sz="0" w:space="0" w:color="auto"/>
      </w:divBdr>
    </w:div>
    <w:div w:id="943345729">
      <w:bodyDiv w:val="1"/>
      <w:marLeft w:val="0"/>
      <w:marRight w:val="0"/>
      <w:marTop w:val="0"/>
      <w:marBottom w:val="0"/>
      <w:divBdr>
        <w:top w:val="none" w:sz="0" w:space="0" w:color="auto"/>
        <w:left w:val="none" w:sz="0" w:space="0" w:color="auto"/>
        <w:bottom w:val="none" w:sz="0" w:space="0" w:color="auto"/>
        <w:right w:val="none" w:sz="0" w:space="0" w:color="auto"/>
      </w:divBdr>
    </w:div>
    <w:div w:id="945389506">
      <w:bodyDiv w:val="1"/>
      <w:marLeft w:val="0"/>
      <w:marRight w:val="0"/>
      <w:marTop w:val="0"/>
      <w:marBottom w:val="0"/>
      <w:divBdr>
        <w:top w:val="none" w:sz="0" w:space="0" w:color="auto"/>
        <w:left w:val="none" w:sz="0" w:space="0" w:color="auto"/>
        <w:bottom w:val="none" w:sz="0" w:space="0" w:color="auto"/>
        <w:right w:val="none" w:sz="0" w:space="0" w:color="auto"/>
      </w:divBdr>
    </w:div>
    <w:div w:id="948658216">
      <w:bodyDiv w:val="1"/>
      <w:marLeft w:val="0"/>
      <w:marRight w:val="0"/>
      <w:marTop w:val="0"/>
      <w:marBottom w:val="0"/>
      <w:divBdr>
        <w:top w:val="none" w:sz="0" w:space="0" w:color="auto"/>
        <w:left w:val="none" w:sz="0" w:space="0" w:color="auto"/>
        <w:bottom w:val="none" w:sz="0" w:space="0" w:color="auto"/>
        <w:right w:val="none" w:sz="0" w:space="0" w:color="auto"/>
      </w:divBdr>
    </w:div>
    <w:div w:id="960572021">
      <w:bodyDiv w:val="1"/>
      <w:marLeft w:val="0"/>
      <w:marRight w:val="0"/>
      <w:marTop w:val="0"/>
      <w:marBottom w:val="0"/>
      <w:divBdr>
        <w:top w:val="none" w:sz="0" w:space="0" w:color="auto"/>
        <w:left w:val="none" w:sz="0" w:space="0" w:color="auto"/>
        <w:bottom w:val="none" w:sz="0" w:space="0" w:color="auto"/>
        <w:right w:val="none" w:sz="0" w:space="0" w:color="auto"/>
      </w:divBdr>
    </w:div>
    <w:div w:id="975260078">
      <w:bodyDiv w:val="1"/>
      <w:marLeft w:val="0"/>
      <w:marRight w:val="0"/>
      <w:marTop w:val="0"/>
      <w:marBottom w:val="0"/>
      <w:divBdr>
        <w:top w:val="none" w:sz="0" w:space="0" w:color="auto"/>
        <w:left w:val="none" w:sz="0" w:space="0" w:color="auto"/>
        <w:bottom w:val="none" w:sz="0" w:space="0" w:color="auto"/>
        <w:right w:val="none" w:sz="0" w:space="0" w:color="auto"/>
      </w:divBdr>
    </w:div>
    <w:div w:id="979772918">
      <w:bodyDiv w:val="1"/>
      <w:marLeft w:val="0"/>
      <w:marRight w:val="0"/>
      <w:marTop w:val="0"/>
      <w:marBottom w:val="0"/>
      <w:divBdr>
        <w:top w:val="none" w:sz="0" w:space="0" w:color="auto"/>
        <w:left w:val="none" w:sz="0" w:space="0" w:color="auto"/>
        <w:bottom w:val="none" w:sz="0" w:space="0" w:color="auto"/>
        <w:right w:val="none" w:sz="0" w:space="0" w:color="auto"/>
      </w:divBdr>
    </w:div>
    <w:div w:id="992563325">
      <w:bodyDiv w:val="1"/>
      <w:marLeft w:val="0"/>
      <w:marRight w:val="0"/>
      <w:marTop w:val="0"/>
      <w:marBottom w:val="0"/>
      <w:divBdr>
        <w:top w:val="none" w:sz="0" w:space="0" w:color="auto"/>
        <w:left w:val="none" w:sz="0" w:space="0" w:color="auto"/>
        <w:bottom w:val="none" w:sz="0" w:space="0" w:color="auto"/>
        <w:right w:val="none" w:sz="0" w:space="0" w:color="auto"/>
      </w:divBdr>
    </w:div>
    <w:div w:id="1028527542">
      <w:bodyDiv w:val="1"/>
      <w:marLeft w:val="0"/>
      <w:marRight w:val="0"/>
      <w:marTop w:val="0"/>
      <w:marBottom w:val="0"/>
      <w:divBdr>
        <w:top w:val="none" w:sz="0" w:space="0" w:color="auto"/>
        <w:left w:val="none" w:sz="0" w:space="0" w:color="auto"/>
        <w:bottom w:val="none" w:sz="0" w:space="0" w:color="auto"/>
        <w:right w:val="none" w:sz="0" w:space="0" w:color="auto"/>
      </w:divBdr>
    </w:div>
    <w:div w:id="1046373463">
      <w:bodyDiv w:val="1"/>
      <w:marLeft w:val="0"/>
      <w:marRight w:val="0"/>
      <w:marTop w:val="0"/>
      <w:marBottom w:val="0"/>
      <w:divBdr>
        <w:top w:val="none" w:sz="0" w:space="0" w:color="auto"/>
        <w:left w:val="none" w:sz="0" w:space="0" w:color="auto"/>
        <w:bottom w:val="none" w:sz="0" w:space="0" w:color="auto"/>
        <w:right w:val="none" w:sz="0" w:space="0" w:color="auto"/>
      </w:divBdr>
    </w:div>
    <w:div w:id="1063143147">
      <w:bodyDiv w:val="1"/>
      <w:marLeft w:val="0"/>
      <w:marRight w:val="0"/>
      <w:marTop w:val="0"/>
      <w:marBottom w:val="0"/>
      <w:divBdr>
        <w:top w:val="none" w:sz="0" w:space="0" w:color="auto"/>
        <w:left w:val="none" w:sz="0" w:space="0" w:color="auto"/>
        <w:bottom w:val="none" w:sz="0" w:space="0" w:color="auto"/>
        <w:right w:val="none" w:sz="0" w:space="0" w:color="auto"/>
      </w:divBdr>
    </w:div>
    <w:div w:id="1076905011">
      <w:bodyDiv w:val="1"/>
      <w:marLeft w:val="0"/>
      <w:marRight w:val="0"/>
      <w:marTop w:val="0"/>
      <w:marBottom w:val="0"/>
      <w:divBdr>
        <w:top w:val="none" w:sz="0" w:space="0" w:color="auto"/>
        <w:left w:val="none" w:sz="0" w:space="0" w:color="auto"/>
        <w:bottom w:val="none" w:sz="0" w:space="0" w:color="auto"/>
        <w:right w:val="none" w:sz="0" w:space="0" w:color="auto"/>
      </w:divBdr>
    </w:div>
    <w:div w:id="1092700211">
      <w:bodyDiv w:val="1"/>
      <w:marLeft w:val="0"/>
      <w:marRight w:val="0"/>
      <w:marTop w:val="0"/>
      <w:marBottom w:val="0"/>
      <w:divBdr>
        <w:top w:val="none" w:sz="0" w:space="0" w:color="auto"/>
        <w:left w:val="none" w:sz="0" w:space="0" w:color="auto"/>
        <w:bottom w:val="none" w:sz="0" w:space="0" w:color="auto"/>
        <w:right w:val="none" w:sz="0" w:space="0" w:color="auto"/>
      </w:divBdr>
    </w:div>
    <w:div w:id="1112675756">
      <w:bodyDiv w:val="1"/>
      <w:marLeft w:val="0"/>
      <w:marRight w:val="0"/>
      <w:marTop w:val="0"/>
      <w:marBottom w:val="0"/>
      <w:divBdr>
        <w:top w:val="none" w:sz="0" w:space="0" w:color="auto"/>
        <w:left w:val="none" w:sz="0" w:space="0" w:color="auto"/>
        <w:bottom w:val="none" w:sz="0" w:space="0" w:color="auto"/>
        <w:right w:val="none" w:sz="0" w:space="0" w:color="auto"/>
      </w:divBdr>
    </w:div>
    <w:div w:id="1123961732">
      <w:bodyDiv w:val="1"/>
      <w:marLeft w:val="0"/>
      <w:marRight w:val="0"/>
      <w:marTop w:val="0"/>
      <w:marBottom w:val="0"/>
      <w:divBdr>
        <w:top w:val="none" w:sz="0" w:space="0" w:color="auto"/>
        <w:left w:val="none" w:sz="0" w:space="0" w:color="auto"/>
        <w:bottom w:val="none" w:sz="0" w:space="0" w:color="auto"/>
        <w:right w:val="none" w:sz="0" w:space="0" w:color="auto"/>
      </w:divBdr>
    </w:div>
    <w:div w:id="1157913543">
      <w:bodyDiv w:val="1"/>
      <w:marLeft w:val="0"/>
      <w:marRight w:val="0"/>
      <w:marTop w:val="0"/>
      <w:marBottom w:val="0"/>
      <w:divBdr>
        <w:top w:val="none" w:sz="0" w:space="0" w:color="auto"/>
        <w:left w:val="none" w:sz="0" w:space="0" w:color="auto"/>
        <w:bottom w:val="none" w:sz="0" w:space="0" w:color="auto"/>
        <w:right w:val="none" w:sz="0" w:space="0" w:color="auto"/>
      </w:divBdr>
    </w:div>
    <w:div w:id="1172332676">
      <w:bodyDiv w:val="1"/>
      <w:marLeft w:val="0"/>
      <w:marRight w:val="0"/>
      <w:marTop w:val="0"/>
      <w:marBottom w:val="0"/>
      <w:divBdr>
        <w:top w:val="none" w:sz="0" w:space="0" w:color="auto"/>
        <w:left w:val="none" w:sz="0" w:space="0" w:color="auto"/>
        <w:bottom w:val="none" w:sz="0" w:space="0" w:color="auto"/>
        <w:right w:val="none" w:sz="0" w:space="0" w:color="auto"/>
      </w:divBdr>
    </w:div>
    <w:div w:id="1182086345">
      <w:bodyDiv w:val="1"/>
      <w:marLeft w:val="0"/>
      <w:marRight w:val="0"/>
      <w:marTop w:val="0"/>
      <w:marBottom w:val="0"/>
      <w:divBdr>
        <w:top w:val="none" w:sz="0" w:space="0" w:color="auto"/>
        <w:left w:val="none" w:sz="0" w:space="0" w:color="auto"/>
        <w:bottom w:val="none" w:sz="0" w:space="0" w:color="auto"/>
        <w:right w:val="none" w:sz="0" w:space="0" w:color="auto"/>
      </w:divBdr>
    </w:div>
    <w:div w:id="1186483925">
      <w:bodyDiv w:val="1"/>
      <w:marLeft w:val="0"/>
      <w:marRight w:val="0"/>
      <w:marTop w:val="0"/>
      <w:marBottom w:val="0"/>
      <w:divBdr>
        <w:top w:val="none" w:sz="0" w:space="0" w:color="auto"/>
        <w:left w:val="none" w:sz="0" w:space="0" w:color="auto"/>
        <w:bottom w:val="none" w:sz="0" w:space="0" w:color="auto"/>
        <w:right w:val="none" w:sz="0" w:space="0" w:color="auto"/>
      </w:divBdr>
    </w:div>
    <w:div w:id="1201823918">
      <w:bodyDiv w:val="1"/>
      <w:marLeft w:val="0"/>
      <w:marRight w:val="0"/>
      <w:marTop w:val="0"/>
      <w:marBottom w:val="0"/>
      <w:divBdr>
        <w:top w:val="none" w:sz="0" w:space="0" w:color="auto"/>
        <w:left w:val="none" w:sz="0" w:space="0" w:color="auto"/>
        <w:bottom w:val="none" w:sz="0" w:space="0" w:color="auto"/>
        <w:right w:val="none" w:sz="0" w:space="0" w:color="auto"/>
      </w:divBdr>
    </w:div>
    <w:div w:id="1231304404">
      <w:bodyDiv w:val="1"/>
      <w:marLeft w:val="0"/>
      <w:marRight w:val="0"/>
      <w:marTop w:val="0"/>
      <w:marBottom w:val="0"/>
      <w:divBdr>
        <w:top w:val="none" w:sz="0" w:space="0" w:color="auto"/>
        <w:left w:val="none" w:sz="0" w:space="0" w:color="auto"/>
        <w:bottom w:val="none" w:sz="0" w:space="0" w:color="auto"/>
        <w:right w:val="none" w:sz="0" w:space="0" w:color="auto"/>
      </w:divBdr>
    </w:div>
    <w:div w:id="1238247005">
      <w:bodyDiv w:val="1"/>
      <w:marLeft w:val="0"/>
      <w:marRight w:val="0"/>
      <w:marTop w:val="0"/>
      <w:marBottom w:val="0"/>
      <w:divBdr>
        <w:top w:val="none" w:sz="0" w:space="0" w:color="auto"/>
        <w:left w:val="none" w:sz="0" w:space="0" w:color="auto"/>
        <w:bottom w:val="none" w:sz="0" w:space="0" w:color="auto"/>
        <w:right w:val="none" w:sz="0" w:space="0" w:color="auto"/>
      </w:divBdr>
    </w:div>
    <w:div w:id="1252085392">
      <w:bodyDiv w:val="1"/>
      <w:marLeft w:val="0"/>
      <w:marRight w:val="0"/>
      <w:marTop w:val="0"/>
      <w:marBottom w:val="0"/>
      <w:divBdr>
        <w:top w:val="none" w:sz="0" w:space="0" w:color="auto"/>
        <w:left w:val="none" w:sz="0" w:space="0" w:color="auto"/>
        <w:bottom w:val="none" w:sz="0" w:space="0" w:color="auto"/>
        <w:right w:val="none" w:sz="0" w:space="0" w:color="auto"/>
      </w:divBdr>
    </w:div>
    <w:div w:id="1255553205">
      <w:bodyDiv w:val="1"/>
      <w:marLeft w:val="0"/>
      <w:marRight w:val="0"/>
      <w:marTop w:val="0"/>
      <w:marBottom w:val="0"/>
      <w:divBdr>
        <w:top w:val="none" w:sz="0" w:space="0" w:color="auto"/>
        <w:left w:val="none" w:sz="0" w:space="0" w:color="auto"/>
        <w:bottom w:val="none" w:sz="0" w:space="0" w:color="auto"/>
        <w:right w:val="none" w:sz="0" w:space="0" w:color="auto"/>
      </w:divBdr>
    </w:div>
    <w:div w:id="1255824983">
      <w:bodyDiv w:val="1"/>
      <w:marLeft w:val="0"/>
      <w:marRight w:val="0"/>
      <w:marTop w:val="0"/>
      <w:marBottom w:val="0"/>
      <w:divBdr>
        <w:top w:val="none" w:sz="0" w:space="0" w:color="auto"/>
        <w:left w:val="none" w:sz="0" w:space="0" w:color="auto"/>
        <w:bottom w:val="none" w:sz="0" w:space="0" w:color="auto"/>
        <w:right w:val="none" w:sz="0" w:space="0" w:color="auto"/>
      </w:divBdr>
    </w:div>
    <w:div w:id="1259676884">
      <w:bodyDiv w:val="1"/>
      <w:marLeft w:val="0"/>
      <w:marRight w:val="0"/>
      <w:marTop w:val="0"/>
      <w:marBottom w:val="0"/>
      <w:divBdr>
        <w:top w:val="none" w:sz="0" w:space="0" w:color="auto"/>
        <w:left w:val="none" w:sz="0" w:space="0" w:color="auto"/>
        <w:bottom w:val="none" w:sz="0" w:space="0" w:color="auto"/>
        <w:right w:val="none" w:sz="0" w:space="0" w:color="auto"/>
      </w:divBdr>
    </w:div>
    <w:div w:id="1277101008">
      <w:bodyDiv w:val="1"/>
      <w:marLeft w:val="0"/>
      <w:marRight w:val="0"/>
      <w:marTop w:val="0"/>
      <w:marBottom w:val="0"/>
      <w:divBdr>
        <w:top w:val="none" w:sz="0" w:space="0" w:color="auto"/>
        <w:left w:val="none" w:sz="0" w:space="0" w:color="auto"/>
        <w:bottom w:val="none" w:sz="0" w:space="0" w:color="auto"/>
        <w:right w:val="none" w:sz="0" w:space="0" w:color="auto"/>
      </w:divBdr>
    </w:div>
    <w:div w:id="1278751447">
      <w:bodyDiv w:val="1"/>
      <w:marLeft w:val="0"/>
      <w:marRight w:val="0"/>
      <w:marTop w:val="0"/>
      <w:marBottom w:val="0"/>
      <w:divBdr>
        <w:top w:val="none" w:sz="0" w:space="0" w:color="auto"/>
        <w:left w:val="none" w:sz="0" w:space="0" w:color="auto"/>
        <w:bottom w:val="none" w:sz="0" w:space="0" w:color="auto"/>
        <w:right w:val="none" w:sz="0" w:space="0" w:color="auto"/>
      </w:divBdr>
    </w:div>
    <w:div w:id="1305895413">
      <w:bodyDiv w:val="1"/>
      <w:marLeft w:val="0"/>
      <w:marRight w:val="0"/>
      <w:marTop w:val="0"/>
      <w:marBottom w:val="0"/>
      <w:divBdr>
        <w:top w:val="none" w:sz="0" w:space="0" w:color="auto"/>
        <w:left w:val="none" w:sz="0" w:space="0" w:color="auto"/>
        <w:bottom w:val="none" w:sz="0" w:space="0" w:color="auto"/>
        <w:right w:val="none" w:sz="0" w:space="0" w:color="auto"/>
      </w:divBdr>
    </w:div>
    <w:div w:id="1327631093">
      <w:bodyDiv w:val="1"/>
      <w:marLeft w:val="0"/>
      <w:marRight w:val="0"/>
      <w:marTop w:val="0"/>
      <w:marBottom w:val="0"/>
      <w:divBdr>
        <w:top w:val="none" w:sz="0" w:space="0" w:color="auto"/>
        <w:left w:val="none" w:sz="0" w:space="0" w:color="auto"/>
        <w:bottom w:val="none" w:sz="0" w:space="0" w:color="auto"/>
        <w:right w:val="none" w:sz="0" w:space="0" w:color="auto"/>
      </w:divBdr>
    </w:div>
    <w:div w:id="1354573099">
      <w:bodyDiv w:val="1"/>
      <w:marLeft w:val="0"/>
      <w:marRight w:val="0"/>
      <w:marTop w:val="0"/>
      <w:marBottom w:val="0"/>
      <w:divBdr>
        <w:top w:val="none" w:sz="0" w:space="0" w:color="auto"/>
        <w:left w:val="none" w:sz="0" w:space="0" w:color="auto"/>
        <w:bottom w:val="none" w:sz="0" w:space="0" w:color="auto"/>
        <w:right w:val="none" w:sz="0" w:space="0" w:color="auto"/>
      </w:divBdr>
    </w:div>
    <w:div w:id="1367631994">
      <w:bodyDiv w:val="1"/>
      <w:marLeft w:val="0"/>
      <w:marRight w:val="0"/>
      <w:marTop w:val="0"/>
      <w:marBottom w:val="0"/>
      <w:divBdr>
        <w:top w:val="none" w:sz="0" w:space="0" w:color="auto"/>
        <w:left w:val="none" w:sz="0" w:space="0" w:color="auto"/>
        <w:bottom w:val="none" w:sz="0" w:space="0" w:color="auto"/>
        <w:right w:val="none" w:sz="0" w:space="0" w:color="auto"/>
      </w:divBdr>
    </w:div>
    <w:div w:id="1388141346">
      <w:bodyDiv w:val="1"/>
      <w:marLeft w:val="0"/>
      <w:marRight w:val="0"/>
      <w:marTop w:val="0"/>
      <w:marBottom w:val="0"/>
      <w:divBdr>
        <w:top w:val="none" w:sz="0" w:space="0" w:color="auto"/>
        <w:left w:val="none" w:sz="0" w:space="0" w:color="auto"/>
        <w:bottom w:val="none" w:sz="0" w:space="0" w:color="auto"/>
        <w:right w:val="none" w:sz="0" w:space="0" w:color="auto"/>
      </w:divBdr>
    </w:div>
    <w:div w:id="1389375775">
      <w:bodyDiv w:val="1"/>
      <w:marLeft w:val="0"/>
      <w:marRight w:val="0"/>
      <w:marTop w:val="0"/>
      <w:marBottom w:val="0"/>
      <w:divBdr>
        <w:top w:val="none" w:sz="0" w:space="0" w:color="auto"/>
        <w:left w:val="none" w:sz="0" w:space="0" w:color="auto"/>
        <w:bottom w:val="none" w:sz="0" w:space="0" w:color="auto"/>
        <w:right w:val="none" w:sz="0" w:space="0" w:color="auto"/>
      </w:divBdr>
    </w:div>
    <w:div w:id="1401706814">
      <w:bodyDiv w:val="1"/>
      <w:marLeft w:val="0"/>
      <w:marRight w:val="0"/>
      <w:marTop w:val="0"/>
      <w:marBottom w:val="0"/>
      <w:divBdr>
        <w:top w:val="none" w:sz="0" w:space="0" w:color="auto"/>
        <w:left w:val="none" w:sz="0" w:space="0" w:color="auto"/>
        <w:bottom w:val="none" w:sz="0" w:space="0" w:color="auto"/>
        <w:right w:val="none" w:sz="0" w:space="0" w:color="auto"/>
      </w:divBdr>
    </w:div>
    <w:div w:id="1405640027">
      <w:bodyDiv w:val="1"/>
      <w:marLeft w:val="0"/>
      <w:marRight w:val="0"/>
      <w:marTop w:val="0"/>
      <w:marBottom w:val="0"/>
      <w:divBdr>
        <w:top w:val="none" w:sz="0" w:space="0" w:color="auto"/>
        <w:left w:val="none" w:sz="0" w:space="0" w:color="auto"/>
        <w:bottom w:val="none" w:sz="0" w:space="0" w:color="auto"/>
        <w:right w:val="none" w:sz="0" w:space="0" w:color="auto"/>
      </w:divBdr>
    </w:div>
    <w:div w:id="1406144010">
      <w:bodyDiv w:val="1"/>
      <w:marLeft w:val="0"/>
      <w:marRight w:val="0"/>
      <w:marTop w:val="0"/>
      <w:marBottom w:val="0"/>
      <w:divBdr>
        <w:top w:val="none" w:sz="0" w:space="0" w:color="auto"/>
        <w:left w:val="none" w:sz="0" w:space="0" w:color="auto"/>
        <w:bottom w:val="none" w:sz="0" w:space="0" w:color="auto"/>
        <w:right w:val="none" w:sz="0" w:space="0" w:color="auto"/>
      </w:divBdr>
    </w:div>
    <w:div w:id="1414468705">
      <w:bodyDiv w:val="1"/>
      <w:marLeft w:val="0"/>
      <w:marRight w:val="0"/>
      <w:marTop w:val="0"/>
      <w:marBottom w:val="0"/>
      <w:divBdr>
        <w:top w:val="none" w:sz="0" w:space="0" w:color="auto"/>
        <w:left w:val="none" w:sz="0" w:space="0" w:color="auto"/>
        <w:bottom w:val="none" w:sz="0" w:space="0" w:color="auto"/>
        <w:right w:val="none" w:sz="0" w:space="0" w:color="auto"/>
      </w:divBdr>
    </w:div>
    <w:div w:id="1419792860">
      <w:bodyDiv w:val="1"/>
      <w:marLeft w:val="0"/>
      <w:marRight w:val="0"/>
      <w:marTop w:val="0"/>
      <w:marBottom w:val="0"/>
      <w:divBdr>
        <w:top w:val="none" w:sz="0" w:space="0" w:color="auto"/>
        <w:left w:val="none" w:sz="0" w:space="0" w:color="auto"/>
        <w:bottom w:val="none" w:sz="0" w:space="0" w:color="auto"/>
        <w:right w:val="none" w:sz="0" w:space="0" w:color="auto"/>
      </w:divBdr>
    </w:div>
    <w:div w:id="1461997492">
      <w:bodyDiv w:val="1"/>
      <w:marLeft w:val="0"/>
      <w:marRight w:val="0"/>
      <w:marTop w:val="0"/>
      <w:marBottom w:val="0"/>
      <w:divBdr>
        <w:top w:val="none" w:sz="0" w:space="0" w:color="auto"/>
        <w:left w:val="none" w:sz="0" w:space="0" w:color="auto"/>
        <w:bottom w:val="none" w:sz="0" w:space="0" w:color="auto"/>
        <w:right w:val="none" w:sz="0" w:space="0" w:color="auto"/>
      </w:divBdr>
    </w:div>
    <w:div w:id="1500851756">
      <w:bodyDiv w:val="1"/>
      <w:marLeft w:val="0"/>
      <w:marRight w:val="0"/>
      <w:marTop w:val="0"/>
      <w:marBottom w:val="0"/>
      <w:divBdr>
        <w:top w:val="none" w:sz="0" w:space="0" w:color="auto"/>
        <w:left w:val="none" w:sz="0" w:space="0" w:color="auto"/>
        <w:bottom w:val="none" w:sz="0" w:space="0" w:color="auto"/>
        <w:right w:val="none" w:sz="0" w:space="0" w:color="auto"/>
      </w:divBdr>
    </w:div>
    <w:div w:id="1518076022">
      <w:bodyDiv w:val="1"/>
      <w:marLeft w:val="0"/>
      <w:marRight w:val="0"/>
      <w:marTop w:val="0"/>
      <w:marBottom w:val="0"/>
      <w:divBdr>
        <w:top w:val="none" w:sz="0" w:space="0" w:color="auto"/>
        <w:left w:val="none" w:sz="0" w:space="0" w:color="auto"/>
        <w:bottom w:val="none" w:sz="0" w:space="0" w:color="auto"/>
        <w:right w:val="none" w:sz="0" w:space="0" w:color="auto"/>
      </w:divBdr>
    </w:div>
    <w:div w:id="1518545588">
      <w:bodyDiv w:val="1"/>
      <w:marLeft w:val="0"/>
      <w:marRight w:val="0"/>
      <w:marTop w:val="0"/>
      <w:marBottom w:val="0"/>
      <w:divBdr>
        <w:top w:val="none" w:sz="0" w:space="0" w:color="auto"/>
        <w:left w:val="none" w:sz="0" w:space="0" w:color="auto"/>
        <w:bottom w:val="none" w:sz="0" w:space="0" w:color="auto"/>
        <w:right w:val="none" w:sz="0" w:space="0" w:color="auto"/>
      </w:divBdr>
    </w:div>
    <w:div w:id="1538003866">
      <w:bodyDiv w:val="1"/>
      <w:marLeft w:val="0"/>
      <w:marRight w:val="0"/>
      <w:marTop w:val="0"/>
      <w:marBottom w:val="0"/>
      <w:divBdr>
        <w:top w:val="none" w:sz="0" w:space="0" w:color="auto"/>
        <w:left w:val="none" w:sz="0" w:space="0" w:color="auto"/>
        <w:bottom w:val="none" w:sz="0" w:space="0" w:color="auto"/>
        <w:right w:val="none" w:sz="0" w:space="0" w:color="auto"/>
      </w:divBdr>
    </w:div>
    <w:div w:id="1572812185">
      <w:bodyDiv w:val="1"/>
      <w:marLeft w:val="0"/>
      <w:marRight w:val="0"/>
      <w:marTop w:val="0"/>
      <w:marBottom w:val="0"/>
      <w:divBdr>
        <w:top w:val="none" w:sz="0" w:space="0" w:color="auto"/>
        <w:left w:val="none" w:sz="0" w:space="0" w:color="auto"/>
        <w:bottom w:val="none" w:sz="0" w:space="0" w:color="auto"/>
        <w:right w:val="none" w:sz="0" w:space="0" w:color="auto"/>
      </w:divBdr>
    </w:div>
    <w:div w:id="1588685171">
      <w:bodyDiv w:val="1"/>
      <w:marLeft w:val="0"/>
      <w:marRight w:val="0"/>
      <w:marTop w:val="0"/>
      <w:marBottom w:val="0"/>
      <w:divBdr>
        <w:top w:val="none" w:sz="0" w:space="0" w:color="auto"/>
        <w:left w:val="none" w:sz="0" w:space="0" w:color="auto"/>
        <w:bottom w:val="none" w:sz="0" w:space="0" w:color="auto"/>
        <w:right w:val="none" w:sz="0" w:space="0" w:color="auto"/>
      </w:divBdr>
    </w:div>
    <w:div w:id="1589659179">
      <w:bodyDiv w:val="1"/>
      <w:marLeft w:val="0"/>
      <w:marRight w:val="0"/>
      <w:marTop w:val="0"/>
      <w:marBottom w:val="0"/>
      <w:divBdr>
        <w:top w:val="none" w:sz="0" w:space="0" w:color="auto"/>
        <w:left w:val="none" w:sz="0" w:space="0" w:color="auto"/>
        <w:bottom w:val="none" w:sz="0" w:space="0" w:color="auto"/>
        <w:right w:val="none" w:sz="0" w:space="0" w:color="auto"/>
      </w:divBdr>
    </w:div>
    <w:div w:id="1613592250">
      <w:bodyDiv w:val="1"/>
      <w:marLeft w:val="0"/>
      <w:marRight w:val="0"/>
      <w:marTop w:val="0"/>
      <w:marBottom w:val="0"/>
      <w:divBdr>
        <w:top w:val="none" w:sz="0" w:space="0" w:color="auto"/>
        <w:left w:val="none" w:sz="0" w:space="0" w:color="auto"/>
        <w:bottom w:val="none" w:sz="0" w:space="0" w:color="auto"/>
        <w:right w:val="none" w:sz="0" w:space="0" w:color="auto"/>
      </w:divBdr>
    </w:div>
    <w:div w:id="1624261912">
      <w:bodyDiv w:val="1"/>
      <w:marLeft w:val="0"/>
      <w:marRight w:val="0"/>
      <w:marTop w:val="0"/>
      <w:marBottom w:val="0"/>
      <w:divBdr>
        <w:top w:val="none" w:sz="0" w:space="0" w:color="auto"/>
        <w:left w:val="none" w:sz="0" w:space="0" w:color="auto"/>
        <w:bottom w:val="none" w:sz="0" w:space="0" w:color="auto"/>
        <w:right w:val="none" w:sz="0" w:space="0" w:color="auto"/>
      </w:divBdr>
    </w:div>
    <w:div w:id="1676155092">
      <w:bodyDiv w:val="1"/>
      <w:marLeft w:val="0"/>
      <w:marRight w:val="0"/>
      <w:marTop w:val="0"/>
      <w:marBottom w:val="0"/>
      <w:divBdr>
        <w:top w:val="none" w:sz="0" w:space="0" w:color="auto"/>
        <w:left w:val="none" w:sz="0" w:space="0" w:color="auto"/>
        <w:bottom w:val="none" w:sz="0" w:space="0" w:color="auto"/>
        <w:right w:val="none" w:sz="0" w:space="0" w:color="auto"/>
      </w:divBdr>
    </w:div>
    <w:div w:id="1683436205">
      <w:bodyDiv w:val="1"/>
      <w:marLeft w:val="0"/>
      <w:marRight w:val="0"/>
      <w:marTop w:val="0"/>
      <w:marBottom w:val="0"/>
      <w:divBdr>
        <w:top w:val="none" w:sz="0" w:space="0" w:color="auto"/>
        <w:left w:val="none" w:sz="0" w:space="0" w:color="auto"/>
        <w:bottom w:val="none" w:sz="0" w:space="0" w:color="auto"/>
        <w:right w:val="none" w:sz="0" w:space="0" w:color="auto"/>
      </w:divBdr>
    </w:div>
    <w:div w:id="1700662898">
      <w:bodyDiv w:val="1"/>
      <w:marLeft w:val="0"/>
      <w:marRight w:val="0"/>
      <w:marTop w:val="0"/>
      <w:marBottom w:val="0"/>
      <w:divBdr>
        <w:top w:val="none" w:sz="0" w:space="0" w:color="auto"/>
        <w:left w:val="none" w:sz="0" w:space="0" w:color="auto"/>
        <w:bottom w:val="none" w:sz="0" w:space="0" w:color="auto"/>
        <w:right w:val="none" w:sz="0" w:space="0" w:color="auto"/>
      </w:divBdr>
    </w:div>
    <w:div w:id="1713387407">
      <w:bodyDiv w:val="1"/>
      <w:marLeft w:val="0"/>
      <w:marRight w:val="0"/>
      <w:marTop w:val="0"/>
      <w:marBottom w:val="0"/>
      <w:divBdr>
        <w:top w:val="none" w:sz="0" w:space="0" w:color="auto"/>
        <w:left w:val="none" w:sz="0" w:space="0" w:color="auto"/>
        <w:bottom w:val="none" w:sz="0" w:space="0" w:color="auto"/>
        <w:right w:val="none" w:sz="0" w:space="0" w:color="auto"/>
      </w:divBdr>
    </w:div>
    <w:div w:id="1730376909">
      <w:bodyDiv w:val="1"/>
      <w:marLeft w:val="0"/>
      <w:marRight w:val="0"/>
      <w:marTop w:val="0"/>
      <w:marBottom w:val="0"/>
      <w:divBdr>
        <w:top w:val="none" w:sz="0" w:space="0" w:color="auto"/>
        <w:left w:val="none" w:sz="0" w:space="0" w:color="auto"/>
        <w:bottom w:val="none" w:sz="0" w:space="0" w:color="auto"/>
        <w:right w:val="none" w:sz="0" w:space="0" w:color="auto"/>
      </w:divBdr>
    </w:div>
    <w:div w:id="1731730104">
      <w:bodyDiv w:val="1"/>
      <w:marLeft w:val="0"/>
      <w:marRight w:val="0"/>
      <w:marTop w:val="0"/>
      <w:marBottom w:val="0"/>
      <w:divBdr>
        <w:top w:val="none" w:sz="0" w:space="0" w:color="auto"/>
        <w:left w:val="none" w:sz="0" w:space="0" w:color="auto"/>
        <w:bottom w:val="none" w:sz="0" w:space="0" w:color="auto"/>
        <w:right w:val="none" w:sz="0" w:space="0" w:color="auto"/>
      </w:divBdr>
    </w:div>
    <w:div w:id="1732996757">
      <w:bodyDiv w:val="1"/>
      <w:marLeft w:val="0"/>
      <w:marRight w:val="0"/>
      <w:marTop w:val="0"/>
      <w:marBottom w:val="0"/>
      <w:divBdr>
        <w:top w:val="none" w:sz="0" w:space="0" w:color="auto"/>
        <w:left w:val="none" w:sz="0" w:space="0" w:color="auto"/>
        <w:bottom w:val="none" w:sz="0" w:space="0" w:color="auto"/>
        <w:right w:val="none" w:sz="0" w:space="0" w:color="auto"/>
      </w:divBdr>
    </w:div>
    <w:div w:id="1744987738">
      <w:bodyDiv w:val="1"/>
      <w:marLeft w:val="0"/>
      <w:marRight w:val="0"/>
      <w:marTop w:val="0"/>
      <w:marBottom w:val="0"/>
      <w:divBdr>
        <w:top w:val="none" w:sz="0" w:space="0" w:color="auto"/>
        <w:left w:val="none" w:sz="0" w:space="0" w:color="auto"/>
        <w:bottom w:val="none" w:sz="0" w:space="0" w:color="auto"/>
        <w:right w:val="none" w:sz="0" w:space="0" w:color="auto"/>
      </w:divBdr>
    </w:div>
    <w:div w:id="1753695197">
      <w:bodyDiv w:val="1"/>
      <w:marLeft w:val="0"/>
      <w:marRight w:val="0"/>
      <w:marTop w:val="0"/>
      <w:marBottom w:val="0"/>
      <w:divBdr>
        <w:top w:val="none" w:sz="0" w:space="0" w:color="auto"/>
        <w:left w:val="none" w:sz="0" w:space="0" w:color="auto"/>
        <w:bottom w:val="none" w:sz="0" w:space="0" w:color="auto"/>
        <w:right w:val="none" w:sz="0" w:space="0" w:color="auto"/>
      </w:divBdr>
    </w:div>
    <w:div w:id="1768229113">
      <w:bodyDiv w:val="1"/>
      <w:marLeft w:val="0"/>
      <w:marRight w:val="0"/>
      <w:marTop w:val="0"/>
      <w:marBottom w:val="0"/>
      <w:divBdr>
        <w:top w:val="none" w:sz="0" w:space="0" w:color="auto"/>
        <w:left w:val="none" w:sz="0" w:space="0" w:color="auto"/>
        <w:bottom w:val="none" w:sz="0" w:space="0" w:color="auto"/>
        <w:right w:val="none" w:sz="0" w:space="0" w:color="auto"/>
      </w:divBdr>
    </w:div>
    <w:div w:id="1788311534">
      <w:bodyDiv w:val="1"/>
      <w:marLeft w:val="0"/>
      <w:marRight w:val="0"/>
      <w:marTop w:val="0"/>
      <w:marBottom w:val="0"/>
      <w:divBdr>
        <w:top w:val="none" w:sz="0" w:space="0" w:color="auto"/>
        <w:left w:val="none" w:sz="0" w:space="0" w:color="auto"/>
        <w:bottom w:val="none" w:sz="0" w:space="0" w:color="auto"/>
        <w:right w:val="none" w:sz="0" w:space="0" w:color="auto"/>
      </w:divBdr>
    </w:div>
    <w:div w:id="1794471018">
      <w:bodyDiv w:val="1"/>
      <w:marLeft w:val="0"/>
      <w:marRight w:val="0"/>
      <w:marTop w:val="0"/>
      <w:marBottom w:val="0"/>
      <w:divBdr>
        <w:top w:val="none" w:sz="0" w:space="0" w:color="auto"/>
        <w:left w:val="none" w:sz="0" w:space="0" w:color="auto"/>
        <w:bottom w:val="none" w:sz="0" w:space="0" w:color="auto"/>
        <w:right w:val="none" w:sz="0" w:space="0" w:color="auto"/>
      </w:divBdr>
    </w:div>
    <w:div w:id="1807622135">
      <w:bodyDiv w:val="1"/>
      <w:marLeft w:val="0"/>
      <w:marRight w:val="0"/>
      <w:marTop w:val="0"/>
      <w:marBottom w:val="0"/>
      <w:divBdr>
        <w:top w:val="none" w:sz="0" w:space="0" w:color="auto"/>
        <w:left w:val="none" w:sz="0" w:space="0" w:color="auto"/>
        <w:bottom w:val="none" w:sz="0" w:space="0" w:color="auto"/>
        <w:right w:val="none" w:sz="0" w:space="0" w:color="auto"/>
      </w:divBdr>
    </w:div>
    <w:div w:id="1816529804">
      <w:bodyDiv w:val="1"/>
      <w:marLeft w:val="0"/>
      <w:marRight w:val="0"/>
      <w:marTop w:val="0"/>
      <w:marBottom w:val="0"/>
      <w:divBdr>
        <w:top w:val="none" w:sz="0" w:space="0" w:color="auto"/>
        <w:left w:val="none" w:sz="0" w:space="0" w:color="auto"/>
        <w:bottom w:val="none" w:sz="0" w:space="0" w:color="auto"/>
        <w:right w:val="none" w:sz="0" w:space="0" w:color="auto"/>
      </w:divBdr>
    </w:div>
    <w:div w:id="1837182206">
      <w:bodyDiv w:val="1"/>
      <w:marLeft w:val="0"/>
      <w:marRight w:val="0"/>
      <w:marTop w:val="0"/>
      <w:marBottom w:val="0"/>
      <w:divBdr>
        <w:top w:val="none" w:sz="0" w:space="0" w:color="auto"/>
        <w:left w:val="none" w:sz="0" w:space="0" w:color="auto"/>
        <w:bottom w:val="none" w:sz="0" w:space="0" w:color="auto"/>
        <w:right w:val="none" w:sz="0" w:space="0" w:color="auto"/>
      </w:divBdr>
    </w:div>
    <w:div w:id="1839299845">
      <w:bodyDiv w:val="1"/>
      <w:marLeft w:val="0"/>
      <w:marRight w:val="0"/>
      <w:marTop w:val="0"/>
      <w:marBottom w:val="0"/>
      <w:divBdr>
        <w:top w:val="none" w:sz="0" w:space="0" w:color="auto"/>
        <w:left w:val="none" w:sz="0" w:space="0" w:color="auto"/>
        <w:bottom w:val="none" w:sz="0" w:space="0" w:color="auto"/>
        <w:right w:val="none" w:sz="0" w:space="0" w:color="auto"/>
      </w:divBdr>
    </w:div>
    <w:div w:id="1864198402">
      <w:bodyDiv w:val="1"/>
      <w:marLeft w:val="0"/>
      <w:marRight w:val="0"/>
      <w:marTop w:val="0"/>
      <w:marBottom w:val="0"/>
      <w:divBdr>
        <w:top w:val="none" w:sz="0" w:space="0" w:color="auto"/>
        <w:left w:val="none" w:sz="0" w:space="0" w:color="auto"/>
        <w:bottom w:val="none" w:sz="0" w:space="0" w:color="auto"/>
        <w:right w:val="none" w:sz="0" w:space="0" w:color="auto"/>
      </w:divBdr>
    </w:div>
    <w:div w:id="1866407534">
      <w:bodyDiv w:val="1"/>
      <w:marLeft w:val="0"/>
      <w:marRight w:val="0"/>
      <w:marTop w:val="0"/>
      <w:marBottom w:val="0"/>
      <w:divBdr>
        <w:top w:val="none" w:sz="0" w:space="0" w:color="auto"/>
        <w:left w:val="none" w:sz="0" w:space="0" w:color="auto"/>
        <w:bottom w:val="none" w:sz="0" w:space="0" w:color="auto"/>
        <w:right w:val="none" w:sz="0" w:space="0" w:color="auto"/>
      </w:divBdr>
    </w:div>
    <w:div w:id="1869640147">
      <w:bodyDiv w:val="1"/>
      <w:marLeft w:val="0"/>
      <w:marRight w:val="0"/>
      <w:marTop w:val="0"/>
      <w:marBottom w:val="0"/>
      <w:divBdr>
        <w:top w:val="none" w:sz="0" w:space="0" w:color="auto"/>
        <w:left w:val="none" w:sz="0" w:space="0" w:color="auto"/>
        <w:bottom w:val="none" w:sz="0" w:space="0" w:color="auto"/>
        <w:right w:val="none" w:sz="0" w:space="0" w:color="auto"/>
      </w:divBdr>
    </w:div>
    <w:div w:id="1887986301">
      <w:bodyDiv w:val="1"/>
      <w:marLeft w:val="0"/>
      <w:marRight w:val="0"/>
      <w:marTop w:val="0"/>
      <w:marBottom w:val="0"/>
      <w:divBdr>
        <w:top w:val="none" w:sz="0" w:space="0" w:color="auto"/>
        <w:left w:val="none" w:sz="0" w:space="0" w:color="auto"/>
        <w:bottom w:val="none" w:sz="0" w:space="0" w:color="auto"/>
        <w:right w:val="none" w:sz="0" w:space="0" w:color="auto"/>
      </w:divBdr>
    </w:div>
    <w:div w:id="1904293393">
      <w:bodyDiv w:val="1"/>
      <w:marLeft w:val="0"/>
      <w:marRight w:val="0"/>
      <w:marTop w:val="0"/>
      <w:marBottom w:val="0"/>
      <w:divBdr>
        <w:top w:val="none" w:sz="0" w:space="0" w:color="auto"/>
        <w:left w:val="none" w:sz="0" w:space="0" w:color="auto"/>
        <w:bottom w:val="none" w:sz="0" w:space="0" w:color="auto"/>
        <w:right w:val="none" w:sz="0" w:space="0" w:color="auto"/>
      </w:divBdr>
    </w:div>
    <w:div w:id="1923106082">
      <w:bodyDiv w:val="1"/>
      <w:marLeft w:val="0"/>
      <w:marRight w:val="0"/>
      <w:marTop w:val="0"/>
      <w:marBottom w:val="0"/>
      <w:divBdr>
        <w:top w:val="none" w:sz="0" w:space="0" w:color="auto"/>
        <w:left w:val="none" w:sz="0" w:space="0" w:color="auto"/>
        <w:bottom w:val="none" w:sz="0" w:space="0" w:color="auto"/>
        <w:right w:val="none" w:sz="0" w:space="0" w:color="auto"/>
      </w:divBdr>
    </w:div>
    <w:div w:id="1929774379">
      <w:bodyDiv w:val="1"/>
      <w:marLeft w:val="0"/>
      <w:marRight w:val="0"/>
      <w:marTop w:val="0"/>
      <w:marBottom w:val="0"/>
      <w:divBdr>
        <w:top w:val="none" w:sz="0" w:space="0" w:color="auto"/>
        <w:left w:val="none" w:sz="0" w:space="0" w:color="auto"/>
        <w:bottom w:val="none" w:sz="0" w:space="0" w:color="auto"/>
        <w:right w:val="none" w:sz="0" w:space="0" w:color="auto"/>
      </w:divBdr>
    </w:div>
    <w:div w:id="1941598728">
      <w:bodyDiv w:val="1"/>
      <w:marLeft w:val="0"/>
      <w:marRight w:val="0"/>
      <w:marTop w:val="0"/>
      <w:marBottom w:val="0"/>
      <w:divBdr>
        <w:top w:val="none" w:sz="0" w:space="0" w:color="auto"/>
        <w:left w:val="none" w:sz="0" w:space="0" w:color="auto"/>
        <w:bottom w:val="none" w:sz="0" w:space="0" w:color="auto"/>
        <w:right w:val="none" w:sz="0" w:space="0" w:color="auto"/>
      </w:divBdr>
    </w:div>
    <w:div w:id="1945306757">
      <w:bodyDiv w:val="1"/>
      <w:marLeft w:val="0"/>
      <w:marRight w:val="0"/>
      <w:marTop w:val="0"/>
      <w:marBottom w:val="0"/>
      <w:divBdr>
        <w:top w:val="none" w:sz="0" w:space="0" w:color="auto"/>
        <w:left w:val="none" w:sz="0" w:space="0" w:color="auto"/>
        <w:bottom w:val="none" w:sz="0" w:space="0" w:color="auto"/>
        <w:right w:val="none" w:sz="0" w:space="0" w:color="auto"/>
      </w:divBdr>
    </w:div>
    <w:div w:id="1968927952">
      <w:bodyDiv w:val="1"/>
      <w:marLeft w:val="0"/>
      <w:marRight w:val="0"/>
      <w:marTop w:val="0"/>
      <w:marBottom w:val="0"/>
      <w:divBdr>
        <w:top w:val="none" w:sz="0" w:space="0" w:color="auto"/>
        <w:left w:val="none" w:sz="0" w:space="0" w:color="auto"/>
        <w:bottom w:val="none" w:sz="0" w:space="0" w:color="auto"/>
        <w:right w:val="none" w:sz="0" w:space="0" w:color="auto"/>
      </w:divBdr>
    </w:div>
    <w:div w:id="1972590576">
      <w:bodyDiv w:val="1"/>
      <w:marLeft w:val="0"/>
      <w:marRight w:val="0"/>
      <w:marTop w:val="0"/>
      <w:marBottom w:val="0"/>
      <w:divBdr>
        <w:top w:val="none" w:sz="0" w:space="0" w:color="auto"/>
        <w:left w:val="none" w:sz="0" w:space="0" w:color="auto"/>
        <w:bottom w:val="none" w:sz="0" w:space="0" w:color="auto"/>
        <w:right w:val="none" w:sz="0" w:space="0" w:color="auto"/>
      </w:divBdr>
    </w:div>
    <w:div w:id="2051804724">
      <w:bodyDiv w:val="1"/>
      <w:marLeft w:val="0"/>
      <w:marRight w:val="0"/>
      <w:marTop w:val="0"/>
      <w:marBottom w:val="0"/>
      <w:divBdr>
        <w:top w:val="none" w:sz="0" w:space="0" w:color="auto"/>
        <w:left w:val="none" w:sz="0" w:space="0" w:color="auto"/>
        <w:bottom w:val="none" w:sz="0" w:space="0" w:color="auto"/>
        <w:right w:val="none" w:sz="0" w:space="0" w:color="auto"/>
      </w:divBdr>
    </w:div>
    <w:div w:id="2056851144">
      <w:bodyDiv w:val="1"/>
      <w:marLeft w:val="0"/>
      <w:marRight w:val="0"/>
      <w:marTop w:val="0"/>
      <w:marBottom w:val="0"/>
      <w:divBdr>
        <w:top w:val="none" w:sz="0" w:space="0" w:color="auto"/>
        <w:left w:val="none" w:sz="0" w:space="0" w:color="auto"/>
        <w:bottom w:val="none" w:sz="0" w:space="0" w:color="auto"/>
        <w:right w:val="none" w:sz="0" w:space="0" w:color="auto"/>
      </w:divBdr>
    </w:div>
    <w:div w:id="2060739770">
      <w:bodyDiv w:val="1"/>
      <w:marLeft w:val="0"/>
      <w:marRight w:val="0"/>
      <w:marTop w:val="0"/>
      <w:marBottom w:val="0"/>
      <w:divBdr>
        <w:top w:val="none" w:sz="0" w:space="0" w:color="auto"/>
        <w:left w:val="none" w:sz="0" w:space="0" w:color="auto"/>
        <w:bottom w:val="none" w:sz="0" w:space="0" w:color="auto"/>
        <w:right w:val="none" w:sz="0" w:space="0" w:color="auto"/>
      </w:divBdr>
    </w:div>
    <w:div w:id="2088646933">
      <w:bodyDiv w:val="1"/>
      <w:marLeft w:val="0"/>
      <w:marRight w:val="0"/>
      <w:marTop w:val="0"/>
      <w:marBottom w:val="0"/>
      <w:divBdr>
        <w:top w:val="none" w:sz="0" w:space="0" w:color="auto"/>
        <w:left w:val="none" w:sz="0" w:space="0" w:color="auto"/>
        <w:bottom w:val="none" w:sz="0" w:space="0" w:color="auto"/>
        <w:right w:val="none" w:sz="0" w:space="0" w:color="auto"/>
      </w:divBdr>
    </w:div>
    <w:div w:id="2100563375">
      <w:bodyDiv w:val="1"/>
      <w:marLeft w:val="0"/>
      <w:marRight w:val="0"/>
      <w:marTop w:val="0"/>
      <w:marBottom w:val="0"/>
      <w:divBdr>
        <w:top w:val="none" w:sz="0" w:space="0" w:color="auto"/>
        <w:left w:val="none" w:sz="0" w:space="0" w:color="auto"/>
        <w:bottom w:val="none" w:sz="0" w:space="0" w:color="auto"/>
        <w:right w:val="none" w:sz="0" w:space="0" w:color="auto"/>
      </w:divBdr>
    </w:div>
    <w:div w:id="2142187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E59C6-5DF7-43D5-9E3C-94365240A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5779</TotalTime>
  <Pages>12</Pages>
  <Words>3876</Words>
  <Characters>21322</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Quezada</dc:creator>
  <cp:keywords/>
  <dc:description/>
  <cp:lastModifiedBy>EDUARDO ZAMORANO</cp:lastModifiedBy>
  <cp:revision>149</cp:revision>
  <cp:lastPrinted>2024-03-25T13:03:00Z</cp:lastPrinted>
  <dcterms:created xsi:type="dcterms:W3CDTF">2023-12-05T17:02:00Z</dcterms:created>
  <dcterms:modified xsi:type="dcterms:W3CDTF">2025-02-12T20:08:00Z</dcterms:modified>
</cp:coreProperties>
</file>