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ED9F" w14:textId="77777777" w:rsidR="00C9500A" w:rsidRPr="00C9500A" w:rsidRDefault="00C9500A" w:rsidP="00C9500A">
      <w:pPr>
        <w:jc w:val="center"/>
        <w:rPr>
          <w:rFonts w:ascii="Arial" w:hAnsi="Arial" w:cs="Arial"/>
          <w:b/>
          <w:sz w:val="22"/>
          <w:szCs w:val="22"/>
        </w:rPr>
      </w:pPr>
      <w:r w:rsidRPr="00C9500A">
        <w:rPr>
          <w:rFonts w:ascii="Arial" w:hAnsi="Arial" w:cs="Arial"/>
          <w:b/>
          <w:sz w:val="22"/>
          <w:szCs w:val="22"/>
        </w:rPr>
        <w:t>Observaciones y/o Comentarios</w:t>
      </w:r>
      <w:r w:rsidRPr="00C9500A">
        <w:rPr>
          <w:rStyle w:val="Refdenotaalpie"/>
          <w:rFonts w:ascii="Arial" w:hAnsi="Arial" w:cs="Arial"/>
          <w:b/>
          <w:sz w:val="22"/>
          <w:szCs w:val="22"/>
        </w:rPr>
        <w:footnoteReference w:id="1"/>
      </w:r>
    </w:p>
    <w:p w14:paraId="122C9913" w14:textId="18982AAD" w:rsidR="00AE0A45" w:rsidRDefault="00C9500A" w:rsidP="00AE0A45">
      <w:pPr>
        <w:jc w:val="center"/>
        <w:rPr>
          <w:rFonts w:ascii="Arial" w:eastAsia="Times New Roman" w:hAnsi="Arial" w:cs="Arial"/>
          <w:b/>
          <w:bCs/>
          <w:sz w:val="22"/>
          <w:szCs w:val="22"/>
        </w:rPr>
      </w:pPr>
      <w:r w:rsidRPr="00C9500A">
        <w:rPr>
          <w:rFonts w:ascii="Arial" w:eastAsia="Times New Roman" w:hAnsi="Arial" w:cs="Arial"/>
          <w:b/>
          <w:bCs/>
          <w:sz w:val="22"/>
          <w:szCs w:val="22"/>
        </w:rPr>
        <w:t xml:space="preserve">Informe </w:t>
      </w:r>
      <w:r w:rsidR="0081618F">
        <w:rPr>
          <w:rFonts w:ascii="Arial" w:eastAsia="Times New Roman" w:hAnsi="Arial" w:cs="Arial"/>
          <w:b/>
          <w:bCs/>
          <w:sz w:val="22"/>
          <w:szCs w:val="22"/>
        </w:rPr>
        <w:t xml:space="preserve">de </w:t>
      </w:r>
      <w:r w:rsidR="00285A71">
        <w:rPr>
          <w:rFonts w:ascii="Arial" w:eastAsia="Times New Roman" w:hAnsi="Arial" w:cs="Arial"/>
          <w:b/>
          <w:bCs/>
          <w:sz w:val="22"/>
          <w:szCs w:val="22"/>
        </w:rPr>
        <w:t>Servicios Complementarios 20</w:t>
      </w:r>
      <w:r w:rsidR="005132A0">
        <w:rPr>
          <w:rFonts w:ascii="Arial" w:eastAsia="Times New Roman" w:hAnsi="Arial" w:cs="Arial"/>
          <w:b/>
          <w:bCs/>
          <w:sz w:val="22"/>
          <w:szCs w:val="22"/>
        </w:rPr>
        <w:t>2</w:t>
      </w:r>
      <w:r w:rsidR="00C32314">
        <w:rPr>
          <w:rFonts w:ascii="Arial" w:eastAsia="Times New Roman" w:hAnsi="Arial" w:cs="Arial"/>
          <w:b/>
          <w:bCs/>
          <w:sz w:val="22"/>
          <w:szCs w:val="22"/>
        </w:rPr>
        <w:t>6</w:t>
      </w:r>
    </w:p>
    <w:p w14:paraId="01EA84D2" w14:textId="77777777" w:rsidR="00C9500A" w:rsidRPr="00C9500A" w:rsidRDefault="00C9500A" w:rsidP="00C9500A">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016"/>
        <w:gridCol w:w="1011"/>
        <w:gridCol w:w="5750"/>
      </w:tblGrid>
      <w:tr w:rsidR="00C9500A" w:rsidRPr="00C9500A" w14:paraId="6503784A" w14:textId="77777777" w:rsidTr="00372696">
        <w:trPr>
          <w:trHeight w:val="584"/>
        </w:trPr>
        <w:tc>
          <w:tcPr>
            <w:tcW w:w="920" w:type="pct"/>
            <w:shd w:val="clear" w:color="auto" w:fill="EAF1DD"/>
            <w:vAlign w:val="center"/>
          </w:tcPr>
          <w:p w14:paraId="1CF62A68" w14:textId="77777777" w:rsidR="00C9500A" w:rsidRPr="00C9500A" w:rsidRDefault="00C9500A" w:rsidP="00C9500A">
            <w:pPr>
              <w:tabs>
                <w:tab w:val="center" w:pos="4252"/>
                <w:tab w:val="right" w:pos="8504"/>
              </w:tabs>
              <w:jc w:val="center"/>
              <w:rPr>
                <w:rFonts w:ascii="Arial" w:hAnsi="Arial" w:cs="Arial"/>
                <w:b/>
                <w:sz w:val="20"/>
                <w:szCs w:val="20"/>
              </w:rPr>
            </w:pPr>
            <w:r w:rsidRPr="00C9500A">
              <w:rPr>
                <w:rFonts w:ascii="Arial" w:hAnsi="Arial" w:cs="Arial"/>
                <w:b/>
                <w:sz w:val="20"/>
                <w:szCs w:val="20"/>
              </w:rPr>
              <w:t>Coordinado</w:t>
            </w:r>
          </w:p>
        </w:tc>
        <w:tc>
          <w:tcPr>
            <w:tcW w:w="533" w:type="pct"/>
            <w:shd w:val="clear" w:color="auto" w:fill="EAF1DD"/>
            <w:vAlign w:val="center"/>
          </w:tcPr>
          <w:p w14:paraId="2AC5A184" w14:textId="77777777" w:rsidR="00C9500A" w:rsidRPr="00C9500A" w:rsidRDefault="00C9500A" w:rsidP="00C9500A">
            <w:pPr>
              <w:tabs>
                <w:tab w:val="center" w:pos="4252"/>
                <w:tab w:val="right" w:pos="8504"/>
              </w:tabs>
              <w:jc w:val="center"/>
              <w:rPr>
                <w:rFonts w:ascii="Arial" w:hAnsi="Arial" w:cs="Arial"/>
                <w:b/>
                <w:sz w:val="20"/>
                <w:szCs w:val="20"/>
              </w:rPr>
            </w:pPr>
            <w:proofErr w:type="spellStart"/>
            <w:r w:rsidRPr="00C9500A">
              <w:rPr>
                <w:rFonts w:ascii="Arial" w:hAnsi="Arial" w:cs="Arial"/>
                <w:b/>
                <w:sz w:val="20"/>
                <w:szCs w:val="20"/>
              </w:rPr>
              <w:t>N°</w:t>
            </w:r>
            <w:proofErr w:type="spellEnd"/>
            <w:r w:rsidRPr="00C9500A">
              <w:rPr>
                <w:rFonts w:ascii="Arial" w:hAnsi="Arial" w:cs="Arial"/>
                <w:b/>
                <w:sz w:val="20"/>
                <w:szCs w:val="20"/>
              </w:rPr>
              <w:t xml:space="preserve"> Capítulo</w:t>
            </w:r>
          </w:p>
        </w:tc>
        <w:tc>
          <w:tcPr>
            <w:tcW w:w="530" w:type="pct"/>
            <w:shd w:val="clear" w:color="auto" w:fill="EAF1DD"/>
            <w:vAlign w:val="center"/>
          </w:tcPr>
          <w:p w14:paraId="7AD2053D" w14:textId="77777777" w:rsidR="00C9500A" w:rsidRPr="00C9500A" w:rsidRDefault="00C9500A" w:rsidP="00C9500A">
            <w:pPr>
              <w:tabs>
                <w:tab w:val="center" w:pos="4252"/>
                <w:tab w:val="right" w:pos="8504"/>
              </w:tabs>
              <w:jc w:val="center"/>
              <w:rPr>
                <w:rFonts w:ascii="Arial" w:hAnsi="Arial" w:cs="Arial"/>
                <w:b/>
                <w:sz w:val="20"/>
                <w:szCs w:val="20"/>
              </w:rPr>
            </w:pPr>
            <w:proofErr w:type="spellStart"/>
            <w:r w:rsidRPr="00C9500A">
              <w:rPr>
                <w:rFonts w:ascii="Arial" w:hAnsi="Arial" w:cs="Arial"/>
                <w:b/>
                <w:sz w:val="20"/>
                <w:szCs w:val="20"/>
              </w:rPr>
              <w:t>N°</w:t>
            </w:r>
            <w:proofErr w:type="spellEnd"/>
          </w:p>
          <w:p w14:paraId="661FEF84" w14:textId="77777777" w:rsidR="00C9500A" w:rsidRPr="00C9500A" w:rsidRDefault="00C9500A" w:rsidP="00C9500A">
            <w:pPr>
              <w:tabs>
                <w:tab w:val="center" w:pos="4252"/>
                <w:tab w:val="right" w:pos="8504"/>
              </w:tabs>
              <w:jc w:val="center"/>
              <w:rPr>
                <w:rFonts w:ascii="Arial" w:hAnsi="Arial" w:cs="Arial"/>
                <w:b/>
                <w:sz w:val="20"/>
                <w:szCs w:val="20"/>
              </w:rPr>
            </w:pPr>
            <w:r w:rsidRPr="00C9500A">
              <w:rPr>
                <w:rFonts w:ascii="Arial" w:hAnsi="Arial" w:cs="Arial"/>
                <w:b/>
                <w:sz w:val="20"/>
                <w:szCs w:val="20"/>
              </w:rPr>
              <w:t>Sección</w:t>
            </w:r>
          </w:p>
        </w:tc>
        <w:tc>
          <w:tcPr>
            <w:tcW w:w="3017" w:type="pct"/>
            <w:shd w:val="clear" w:color="auto" w:fill="EAF1DD"/>
            <w:vAlign w:val="center"/>
          </w:tcPr>
          <w:p w14:paraId="72348C9E" w14:textId="77777777" w:rsidR="00C9500A" w:rsidRPr="00C9500A" w:rsidRDefault="00C9500A" w:rsidP="00C9500A">
            <w:pPr>
              <w:tabs>
                <w:tab w:val="center" w:pos="4252"/>
                <w:tab w:val="right" w:pos="8504"/>
              </w:tabs>
              <w:jc w:val="center"/>
              <w:rPr>
                <w:rFonts w:ascii="Arial" w:hAnsi="Arial" w:cs="Arial"/>
                <w:b/>
                <w:sz w:val="20"/>
                <w:szCs w:val="20"/>
              </w:rPr>
            </w:pPr>
            <w:r w:rsidRPr="00C9500A">
              <w:rPr>
                <w:rFonts w:ascii="Arial" w:hAnsi="Arial" w:cs="Arial"/>
                <w:b/>
                <w:sz w:val="20"/>
                <w:szCs w:val="20"/>
              </w:rPr>
              <w:t>Observaciones y/o Comentarios</w:t>
            </w:r>
          </w:p>
        </w:tc>
      </w:tr>
      <w:tr w:rsidR="00DD7807" w:rsidRPr="00C9500A" w14:paraId="5FECEECE" w14:textId="77777777" w:rsidTr="00372696">
        <w:trPr>
          <w:trHeight w:val="565"/>
        </w:trPr>
        <w:tc>
          <w:tcPr>
            <w:tcW w:w="920" w:type="pct"/>
          </w:tcPr>
          <w:p w14:paraId="2BE094F9" w14:textId="4BB4001F" w:rsidR="00DD7807" w:rsidRPr="00C9500A" w:rsidRDefault="00114405" w:rsidP="00492FC6">
            <w:pPr>
              <w:tabs>
                <w:tab w:val="center" w:pos="4252"/>
                <w:tab w:val="right" w:pos="8504"/>
              </w:tabs>
              <w:jc w:val="center"/>
              <w:rPr>
                <w:rFonts w:ascii="Arial" w:hAnsi="Arial" w:cs="Arial"/>
                <w:sz w:val="22"/>
                <w:szCs w:val="22"/>
              </w:rPr>
            </w:pPr>
            <w:r>
              <w:rPr>
                <w:rFonts w:ascii="Arial" w:hAnsi="Arial" w:cs="Arial"/>
                <w:sz w:val="22"/>
                <w:szCs w:val="22"/>
              </w:rPr>
              <w:t xml:space="preserve">Cóndor Energía </w:t>
            </w:r>
            <w:r w:rsidR="005E454E">
              <w:rPr>
                <w:rFonts w:ascii="Arial" w:hAnsi="Arial" w:cs="Arial"/>
                <w:sz w:val="22"/>
                <w:szCs w:val="22"/>
              </w:rPr>
              <w:t>y</w:t>
            </w:r>
            <w:r>
              <w:rPr>
                <w:rFonts w:ascii="Arial" w:hAnsi="Arial" w:cs="Arial"/>
                <w:sz w:val="22"/>
                <w:szCs w:val="22"/>
              </w:rPr>
              <w:t xml:space="preserve"> Huemul Energía</w:t>
            </w:r>
          </w:p>
        </w:tc>
        <w:tc>
          <w:tcPr>
            <w:tcW w:w="533" w:type="pct"/>
          </w:tcPr>
          <w:p w14:paraId="61BFE6CD" w14:textId="1F924DD9" w:rsidR="00DD7807" w:rsidRDefault="00DD7807" w:rsidP="00492FC6">
            <w:pPr>
              <w:tabs>
                <w:tab w:val="center" w:pos="4252"/>
                <w:tab w:val="right" w:pos="8504"/>
              </w:tabs>
              <w:jc w:val="center"/>
              <w:rPr>
                <w:rFonts w:ascii="Arial" w:hAnsi="Arial" w:cs="Arial"/>
                <w:sz w:val="22"/>
                <w:szCs w:val="22"/>
              </w:rPr>
            </w:pPr>
            <w:r>
              <w:rPr>
                <w:rFonts w:ascii="Arial" w:hAnsi="Arial" w:cs="Arial"/>
                <w:sz w:val="22"/>
                <w:szCs w:val="22"/>
              </w:rPr>
              <w:t>7</w:t>
            </w:r>
          </w:p>
        </w:tc>
        <w:tc>
          <w:tcPr>
            <w:tcW w:w="530" w:type="pct"/>
          </w:tcPr>
          <w:p w14:paraId="1A063837" w14:textId="10532E2F" w:rsidR="00DD7807" w:rsidRDefault="001179B5" w:rsidP="00492FC6">
            <w:pPr>
              <w:tabs>
                <w:tab w:val="center" w:pos="4252"/>
                <w:tab w:val="right" w:pos="8504"/>
              </w:tabs>
              <w:jc w:val="center"/>
              <w:rPr>
                <w:rFonts w:ascii="Arial" w:hAnsi="Arial" w:cs="Arial"/>
                <w:sz w:val="22"/>
                <w:szCs w:val="22"/>
              </w:rPr>
            </w:pPr>
            <w:r>
              <w:rPr>
                <w:rFonts w:ascii="Arial" w:hAnsi="Arial" w:cs="Arial"/>
                <w:sz w:val="22"/>
                <w:szCs w:val="22"/>
              </w:rPr>
              <w:t>7.3.2.1, numeral c)</w:t>
            </w:r>
          </w:p>
        </w:tc>
        <w:tc>
          <w:tcPr>
            <w:tcW w:w="3017" w:type="pct"/>
          </w:tcPr>
          <w:p w14:paraId="7BA7657A" w14:textId="73C336D0" w:rsidR="00DD7807" w:rsidRDefault="001179B5" w:rsidP="00492FC6">
            <w:pPr>
              <w:tabs>
                <w:tab w:val="center" w:pos="4252"/>
                <w:tab w:val="right" w:pos="8504"/>
              </w:tabs>
              <w:jc w:val="both"/>
              <w:rPr>
                <w:rFonts w:ascii="Arial" w:hAnsi="Arial" w:cs="Arial"/>
                <w:sz w:val="22"/>
                <w:szCs w:val="22"/>
              </w:rPr>
            </w:pPr>
            <w:r>
              <w:rPr>
                <w:rFonts w:ascii="Arial" w:hAnsi="Arial" w:cs="Arial"/>
                <w:sz w:val="22"/>
                <w:szCs w:val="22"/>
              </w:rPr>
              <w:t xml:space="preserve">Se indica en el informe, en la página 85, sobre el EDAG en la Zona Centro Sur, </w:t>
            </w:r>
            <w:r w:rsidR="003617D1">
              <w:rPr>
                <w:rFonts w:ascii="Arial" w:hAnsi="Arial" w:cs="Arial"/>
                <w:sz w:val="22"/>
                <w:szCs w:val="22"/>
              </w:rPr>
              <w:t xml:space="preserve">que se incluyen todos los parques eólicos al sur de S/E Lo Aguirre con una potencia nominal mayor a 20 MW en los tres primeros escalones, los cuales están individualizados en la Tabla 7-13 de la página 86. </w:t>
            </w:r>
            <w:r w:rsidR="003617D1">
              <w:rPr>
                <w:rFonts w:ascii="Arial" w:hAnsi="Arial" w:cs="Arial"/>
                <w:sz w:val="22"/>
                <w:szCs w:val="22"/>
                <w:lang w:val="es-CL"/>
              </w:rPr>
              <w:t>Se solicita que se indique, al igual que</w:t>
            </w:r>
            <w:r w:rsidR="003617D1">
              <w:rPr>
                <w:rFonts w:ascii="Arial" w:hAnsi="Arial" w:cs="Arial"/>
                <w:sz w:val="22"/>
                <w:szCs w:val="22"/>
                <w:lang w:val="es-CL"/>
              </w:rPr>
              <w:t xml:space="preserve"> </w:t>
            </w:r>
            <w:r w:rsidR="003617D1">
              <w:rPr>
                <w:rFonts w:ascii="Arial" w:hAnsi="Arial" w:cs="Arial"/>
                <w:sz w:val="22"/>
                <w:szCs w:val="22"/>
                <w:lang w:val="es-CL"/>
              </w:rPr>
              <w:t xml:space="preserve">en </w:t>
            </w:r>
            <w:r w:rsidR="00FC01A6">
              <w:rPr>
                <w:rFonts w:ascii="Arial" w:hAnsi="Arial" w:cs="Arial"/>
                <w:sz w:val="22"/>
                <w:szCs w:val="22"/>
                <w:lang w:val="es-CL"/>
              </w:rPr>
              <w:t xml:space="preserve">las especificaciones para la implementación del EDAG Fase 0, lo cual se detalla en </w:t>
            </w:r>
            <w:r w:rsidR="003617D1">
              <w:rPr>
                <w:rFonts w:ascii="Arial" w:hAnsi="Arial" w:cs="Arial"/>
                <w:sz w:val="22"/>
                <w:szCs w:val="22"/>
                <w:lang w:val="es-CL"/>
              </w:rPr>
              <w:t xml:space="preserve">la sección 7.3.2.1, numeral a), párrafo 6 (página 80), que </w:t>
            </w:r>
            <w:r w:rsidR="00FC01A6">
              <w:rPr>
                <w:rFonts w:ascii="Arial" w:hAnsi="Arial" w:cs="Arial"/>
                <w:sz w:val="22"/>
                <w:szCs w:val="22"/>
                <w:lang w:val="es-CL"/>
              </w:rPr>
              <w:t xml:space="preserve">la </w:t>
            </w:r>
            <w:r w:rsidR="003617D1">
              <w:rPr>
                <w:rFonts w:ascii="Arial" w:hAnsi="Arial" w:cs="Arial"/>
                <w:sz w:val="22"/>
                <w:szCs w:val="22"/>
                <w:lang w:val="es-CL"/>
              </w:rPr>
              <w:t xml:space="preserve">implementación </w:t>
            </w:r>
            <w:r w:rsidR="00FC01A6">
              <w:rPr>
                <w:rFonts w:ascii="Arial" w:hAnsi="Arial" w:cs="Arial"/>
                <w:sz w:val="22"/>
                <w:szCs w:val="22"/>
                <w:lang w:val="es-CL"/>
              </w:rPr>
              <w:t xml:space="preserve">de </w:t>
            </w:r>
            <w:r w:rsidR="0057014B">
              <w:rPr>
                <w:rFonts w:ascii="Arial" w:hAnsi="Arial" w:cs="Arial"/>
                <w:sz w:val="22"/>
                <w:szCs w:val="22"/>
                <w:lang w:val="es-CL"/>
              </w:rPr>
              <w:t xml:space="preserve">los ajustes del EDAG Zona SEN – Centro Sur (Tabla 7-13) </w:t>
            </w:r>
            <w:r w:rsidR="003617D1">
              <w:rPr>
                <w:rFonts w:ascii="Arial" w:hAnsi="Arial" w:cs="Arial"/>
                <w:sz w:val="22"/>
                <w:szCs w:val="22"/>
                <w:lang w:val="es-CL"/>
              </w:rPr>
              <w:t xml:space="preserve">se llevará a cabo mediante el ajuste de sus protecciones de </w:t>
            </w:r>
            <w:proofErr w:type="spellStart"/>
            <w:r w:rsidR="003617D1">
              <w:rPr>
                <w:rFonts w:ascii="Arial" w:hAnsi="Arial" w:cs="Arial"/>
                <w:sz w:val="22"/>
                <w:szCs w:val="22"/>
                <w:lang w:val="es-CL"/>
              </w:rPr>
              <w:t>sobrefrecuencia</w:t>
            </w:r>
            <w:proofErr w:type="spellEnd"/>
            <w:r w:rsidR="003617D1">
              <w:rPr>
                <w:rFonts w:ascii="Arial" w:hAnsi="Arial" w:cs="Arial"/>
                <w:sz w:val="22"/>
                <w:szCs w:val="22"/>
                <w:lang w:val="es-CL"/>
              </w:rPr>
              <w:t xml:space="preserve"> existentes con el fin tanto de agilizar la implementación como de reducir los costos en los que se incurrirá para su habilitación.</w:t>
            </w:r>
          </w:p>
        </w:tc>
      </w:tr>
      <w:tr w:rsidR="005E454E" w:rsidRPr="00C9500A" w14:paraId="59F92B86" w14:textId="77777777" w:rsidTr="00372696">
        <w:trPr>
          <w:trHeight w:val="565"/>
        </w:trPr>
        <w:tc>
          <w:tcPr>
            <w:tcW w:w="920" w:type="pct"/>
          </w:tcPr>
          <w:p w14:paraId="0BA24CC3" w14:textId="0F092C8A"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t>Cóndor Energía y Huemul Energía</w:t>
            </w:r>
          </w:p>
        </w:tc>
        <w:tc>
          <w:tcPr>
            <w:tcW w:w="533" w:type="pct"/>
          </w:tcPr>
          <w:p w14:paraId="6C677BE0" w14:textId="47078893"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9</w:t>
            </w:r>
          </w:p>
        </w:tc>
        <w:tc>
          <w:tcPr>
            <w:tcW w:w="530" w:type="pct"/>
          </w:tcPr>
          <w:p w14:paraId="59083291" w14:textId="52B9C76F"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9.3.2, numeral a)</w:t>
            </w:r>
          </w:p>
        </w:tc>
        <w:tc>
          <w:tcPr>
            <w:tcW w:w="3017" w:type="pct"/>
          </w:tcPr>
          <w:p w14:paraId="2A88B79F" w14:textId="60E377A0" w:rsidR="005E454E" w:rsidRDefault="005E454E" w:rsidP="005E454E">
            <w:pPr>
              <w:tabs>
                <w:tab w:val="center" w:pos="4252"/>
                <w:tab w:val="right" w:pos="8504"/>
              </w:tabs>
              <w:jc w:val="both"/>
              <w:rPr>
                <w:rFonts w:ascii="Arial" w:hAnsi="Arial" w:cs="Arial"/>
                <w:sz w:val="22"/>
                <w:szCs w:val="22"/>
              </w:rPr>
            </w:pPr>
            <w:r>
              <w:rPr>
                <w:rFonts w:ascii="Arial" w:hAnsi="Arial" w:cs="Arial"/>
                <w:sz w:val="22"/>
                <w:szCs w:val="22"/>
              </w:rPr>
              <w:t xml:space="preserve">Se indica en el informe que, a medida que aumente el número de unidades integradas al EDAG del PDCE Zona Norte, se deshabilitarán paulatinamente las unidades asociadas al EDAG Fase 0. Se solicita que se indique expresamente que las unidades participantes tanto del EDAG Fase 0 como del EDAG Zona Norte, una vez que se integren al EDAG Zona Norte definitivo, deberán deshabilitar los ajustes de desconexión por escalón de </w:t>
            </w:r>
            <w:proofErr w:type="spellStart"/>
            <w:r>
              <w:rPr>
                <w:rFonts w:ascii="Arial" w:hAnsi="Arial" w:cs="Arial"/>
                <w:sz w:val="22"/>
                <w:szCs w:val="22"/>
              </w:rPr>
              <w:t>sobrefrecuencia</w:t>
            </w:r>
            <w:proofErr w:type="spellEnd"/>
            <w:r>
              <w:rPr>
                <w:rFonts w:ascii="Arial" w:hAnsi="Arial" w:cs="Arial"/>
                <w:sz w:val="22"/>
                <w:szCs w:val="22"/>
              </w:rPr>
              <w:t xml:space="preserve"> fijo asociados al EDAG Fase 0 para evitar conflictos entre los ajustes de ambos esquemas.</w:t>
            </w:r>
          </w:p>
        </w:tc>
      </w:tr>
      <w:tr w:rsidR="005E454E" w:rsidRPr="00C9500A" w14:paraId="61EA4E72" w14:textId="77777777" w:rsidTr="00372696">
        <w:trPr>
          <w:trHeight w:val="565"/>
        </w:trPr>
        <w:tc>
          <w:tcPr>
            <w:tcW w:w="920" w:type="pct"/>
          </w:tcPr>
          <w:p w14:paraId="2B0A3870" w14:textId="6DFE73A3"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t>Cóndor Energía y Huemul Energía</w:t>
            </w:r>
          </w:p>
        </w:tc>
        <w:tc>
          <w:tcPr>
            <w:tcW w:w="533" w:type="pct"/>
          </w:tcPr>
          <w:p w14:paraId="4223E52C" w14:textId="798F8BA5"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w:t>
            </w:r>
          </w:p>
        </w:tc>
        <w:tc>
          <w:tcPr>
            <w:tcW w:w="530" w:type="pct"/>
          </w:tcPr>
          <w:p w14:paraId="761BA392" w14:textId="70752655"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10.3</w:t>
            </w:r>
          </w:p>
        </w:tc>
        <w:tc>
          <w:tcPr>
            <w:tcW w:w="3017" w:type="pct"/>
          </w:tcPr>
          <w:p w14:paraId="1D5F0909" w14:textId="2E37A6A9" w:rsidR="005E454E" w:rsidRPr="00AE0DCC" w:rsidRDefault="005E454E" w:rsidP="005E454E">
            <w:pPr>
              <w:tabs>
                <w:tab w:val="center" w:pos="4252"/>
                <w:tab w:val="right" w:pos="8504"/>
              </w:tabs>
              <w:jc w:val="both"/>
              <w:rPr>
                <w:rFonts w:ascii="Arial" w:hAnsi="Arial" w:cs="Arial"/>
                <w:sz w:val="22"/>
                <w:szCs w:val="22"/>
                <w:lang w:val="es-CL"/>
              </w:rPr>
            </w:pPr>
            <w:r>
              <w:rPr>
                <w:rFonts w:ascii="Arial" w:hAnsi="Arial" w:cs="Arial"/>
                <w:sz w:val="22"/>
                <w:szCs w:val="22"/>
              </w:rPr>
              <w:t xml:space="preserve">Los numerales “a) </w:t>
            </w:r>
            <w:r w:rsidRPr="00E76B1A">
              <w:rPr>
                <w:rFonts w:ascii="Arial" w:hAnsi="Arial" w:cs="Arial"/>
                <w:sz w:val="22"/>
                <w:szCs w:val="22"/>
                <w:lang w:val="es-CL"/>
              </w:rPr>
              <w:t>Automatismo transitorio de EDAG en la Zona Norte (Fase 0)</w:t>
            </w:r>
            <w:r>
              <w:rPr>
                <w:rFonts w:ascii="Arial" w:hAnsi="Arial" w:cs="Arial"/>
                <w:sz w:val="22"/>
                <w:szCs w:val="22"/>
                <w:lang w:val="es-CL"/>
              </w:rPr>
              <w:t>”, “</w:t>
            </w:r>
            <w:r w:rsidRPr="00E76B1A">
              <w:rPr>
                <w:rFonts w:ascii="Arial" w:hAnsi="Arial" w:cs="Arial"/>
                <w:sz w:val="22"/>
                <w:szCs w:val="22"/>
                <w:lang w:val="es-CL"/>
              </w:rPr>
              <w:t>b)</w:t>
            </w:r>
            <w:r>
              <w:rPr>
                <w:rFonts w:ascii="Arial" w:hAnsi="Arial" w:cs="Arial"/>
                <w:sz w:val="22"/>
                <w:szCs w:val="22"/>
                <w:lang w:val="es-CL"/>
              </w:rPr>
              <w:t xml:space="preserve"> </w:t>
            </w:r>
            <w:r w:rsidRPr="00E76B1A">
              <w:rPr>
                <w:rFonts w:ascii="Arial" w:hAnsi="Arial" w:cs="Arial"/>
                <w:sz w:val="22"/>
                <w:szCs w:val="22"/>
                <w:lang w:val="es-CL"/>
              </w:rPr>
              <w:t>EDAG asociado a Fase 1: Falla línea Quillota – Polpaico 2x220 kV</w:t>
            </w:r>
            <w:r>
              <w:rPr>
                <w:rFonts w:ascii="Arial" w:hAnsi="Arial" w:cs="Arial"/>
                <w:sz w:val="22"/>
                <w:szCs w:val="22"/>
                <w:lang w:val="es-CL"/>
              </w:rPr>
              <w:t>” y “</w:t>
            </w:r>
            <w:r w:rsidRPr="00E76B1A">
              <w:rPr>
                <w:rFonts w:ascii="Arial" w:hAnsi="Arial" w:cs="Arial"/>
                <w:sz w:val="22"/>
                <w:szCs w:val="22"/>
                <w:lang w:val="es-CL"/>
              </w:rPr>
              <w:t>c)</w:t>
            </w:r>
            <w:r>
              <w:rPr>
                <w:rFonts w:ascii="Arial" w:hAnsi="Arial" w:cs="Arial"/>
                <w:sz w:val="22"/>
                <w:szCs w:val="22"/>
                <w:lang w:val="es-CL"/>
              </w:rPr>
              <w:t xml:space="preserve"> </w:t>
            </w:r>
            <w:r w:rsidRPr="00E76B1A">
              <w:rPr>
                <w:rFonts w:ascii="Arial" w:hAnsi="Arial" w:cs="Arial"/>
                <w:sz w:val="22"/>
                <w:szCs w:val="22"/>
                <w:lang w:val="es-CL"/>
              </w:rPr>
              <w:t>EDAG asociado a PDCE Zona Norte</w:t>
            </w:r>
            <w:r>
              <w:rPr>
                <w:rFonts w:ascii="Arial" w:hAnsi="Arial" w:cs="Arial"/>
                <w:sz w:val="22"/>
                <w:szCs w:val="22"/>
                <w:lang w:val="es-CL"/>
              </w:rPr>
              <w:t>” de las páginas 98 y 99 se encuentran bajo la sección “10.3.1.2 EDAC por Contingencia Específica”. Se solicita agregar una sección aparte asociado a los esquemas de desconexión de generación, por ejemplo, “10.3.2.3 EDAG por Contingencia Específica”</w:t>
            </w:r>
          </w:p>
        </w:tc>
      </w:tr>
      <w:tr w:rsidR="005E454E" w:rsidRPr="00C9500A" w14:paraId="166E46ED" w14:textId="77777777" w:rsidTr="00372696">
        <w:trPr>
          <w:trHeight w:val="565"/>
        </w:trPr>
        <w:tc>
          <w:tcPr>
            <w:tcW w:w="920" w:type="pct"/>
          </w:tcPr>
          <w:p w14:paraId="42AD2DDF" w14:textId="55A71552"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t>Cóndor Energía y Huemul Energía</w:t>
            </w:r>
          </w:p>
        </w:tc>
        <w:tc>
          <w:tcPr>
            <w:tcW w:w="533" w:type="pct"/>
          </w:tcPr>
          <w:p w14:paraId="08C59A2F" w14:textId="64D46168"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w:t>
            </w:r>
          </w:p>
        </w:tc>
        <w:tc>
          <w:tcPr>
            <w:tcW w:w="530" w:type="pct"/>
          </w:tcPr>
          <w:p w14:paraId="1FB8AC35" w14:textId="2521B4D4"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10.3</w:t>
            </w:r>
          </w:p>
        </w:tc>
        <w:tc>
          <w:tcPr>
            <w:tcW w:w="3017" w:type="pct"/>
          </w:tcPr>
          <w:p w14:paraId="0AB32A66" w14:textId="072FFFA2" w:rsidR="005E454E" w:rsidRPr="00635B9B" w:rsidRDefault="005E454E" w:rsidP="005E454E">
            <w:pPr>
              <w:tabs>
                <w:tab w:val="center" w:pos="4252"/>
                <w:tab w:val="right" w:pos="8504"/>
              </w:tabs>
              <w:jc w:val="both"/>
              <w:rPr>
                <w:rFonts w:ascii="Arial" w:hAnsi="Arial" w:cs="Arial"/>
                <w:sz w:val="22"/>
                <w:szCs w:val="22"/>
                <w:lang w:val="es-CL"/>
              </w:rPr>
            </w:pPr>
            <w:r>
              <w:rPr>
                <w:rFonts w:ascii="Arial" w:hAnsi="Arial" w:cs="Arial"/>
                <w:sz w:val="22"/>
                <w:szCs w:val="22"/>
              </w:rPr>
              <w:t xml:space="preserve">En el numeral </w:t>
            </w:r>
            <w:r>
              <w:rPr>
                <w:rFonts w:ascii="Arial" w:hAnsi="Arial" w:cs="Arial"/>
                <w:sz w:val="22"/>
                <w:szCs w:val="22"/>
              </w:rPr>
              <w:t xml:space="preserve">“a) </w:t>
            </w:r>
            <w:r w:rsidRPr="00E76B1A">
              <w:rPr>
                <w:rFonts w:ascii="Arial" w:hAnsi="Arial" w:cs="Arial"/>
                <w:sz w:val="22"/>
                <w:szCs w:val="22"/>
                <w:lang w:val="es-CL"/>
              </w:rPr>
              <w:t>Automatismo transitorio de EDAG en la Zona Norte (Fase 0)</w:t>
            </w:r>
            <w:r>
              <w:rPr>
                <w:rFonts w:ascii="Arial" w:hAnsi="Arial" w:cs="Arial"/>
                <w:sz w:val="22"/>
                <w:szCs w:val="22"/>
                <w:lang w:val="es-CL"/>
              </w:rPr>
              <w:t>”</w:t>
            </w:r>
            <w:r>
              <w:rPr>
                <w:rFonts w:ascii="Arial" w:hAnsi="Arial" w:cs="Arial"/>
                <w:sz w:val="22"/>
                <w:szCs w:val="22"/>
                <w:lang w:val="es-CL"/>
              </w:rPr>
              <w:t xml:space="preserve"> de la página 98 se indica: “</w:t>
            </w:r>
            <w:r w:rsidRPr="00635B9B">
              <w:rPr>
                <w:rFonts w:ascii="Arial" w:hAnsi="Arial" w:cs="Arial"/>
                <w:sz w:val="22"/>
                <w:szCs w:val="22"/>
                <w:lang w:val="es-CL"/>
              </w:rPr>
              <w:t>Las Unidades en el EDAG fase 0 se irán deshabilitando del esquema coordinadamente a medida que se integren unidades al EDAG PDCE ZN</w:t>
            </w:r>
            <w:r>
              <w:rPr>
                <w:rFonts w:ascii="Arial" w:hAnsi="Arial" w:cs="Arial"/>
                <w:sz w:val="22"/>
                <w:szCs w:val="22"/>
                <w:lang w:val="es-CL"/>
              </w:rPr>
              <w:t xml:space="preserve">.” </w:t>
            </w:r>
            <w:r>
              <w:rPr>
                <w:rFonts w:ascii="Arial" w:hAnsi="Arial" w:cs="Arial"/>
                <w:sz w:val="22"/>
                <w:szCs w:val="22"/>
              </w:rPr>
              <w:t xml:space="preserve">Se solicita que se indique expresamente que las unidades participantes tanto del EDAG Fase 0 como del EDAG Zona Norte, una vez que se integren al EDAG Zona Norte definitivo, deberán deshabilitar los ajustes de desconexión por escalón de </w:t>
            </w:r>
            <w:proofErr w:type="spellStart"/>
            <w:r>
              <w:rPr>
                <w:rFonts w:ascii="Arial" w:hAnsi="Arial" w:cs="Arial"/>
                <w:sz w:val="22"/>
                <w:szCs w:val="22"/>
              </w:rPr>
              <w:lastRenderedPageBreak/>
              <w:t>sobrefrecuencia</w:t>
            </w:r>
            <w:proofErr w:type="spellEnd"/>
            <w:r>
              <w:rPr>
                <w:rFonts w:ascii="Arial" w:hAnsi="Arial" w:cs="Arial"/>
                <w:sz w:val="22"/>
                <w:szCs w:val="22"/>
              </w:rPr>
              <w:t xml:space="preserve"> fijo asociados al EDAG Fase 0 para evitar conflictos entre los ajustes de ambos esquemas.</w:t>
            </w:r>
          </w:p>
        </w:tc>
      </w:tr>
      <w:tr w:rsidR="005E454E" w:rsidRPr="00C9500A" w14:paraId="58A2B320" w14:textId="77777777" w:rsidTr="00372696">
        <w:trPr>
          <w:trHeight w:val="565"/>
        </w:trPr>
        <w:tc>
          <w:tcPr>
            <w:tcW w:w="920" w:type="pct"/>
          </w:tcPr>
          <w:p w14:paraId="57780ED8" w14:textId="05E9D438"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lastRenderedPageBreak/>
              <w:t>Cóndor Energía y Huemul Energía</w:t>
            </w:r>
          </w:p>
        </w:tc>
        <w:tc>
          <w:tcPr>
            <w:tcW w:w="533" w:type="pct"/>
          </w:tcPr>
          <w:p w14:paraId="33DE68E9" w14:textId="1A96A676"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w:t>
            </w:r>
          </w:p>
        </w:tc>
        <w:tc>
          <w:tcPr>
            <w:tcW w:w="530" w:type="pct"/>
          </w:tcPr>
          <w:p w14:paraId="766B7075" w14:textId="161BD862"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10.3</w:t>
            </w:r>
          </w:p>
        </w:tc>
        <w:tc>
          <w:tcPr>
            <w:tcW w:w="3017" w:type="pct"/>
          </w:tcPr>
          <w:p w14:paraId="12C63317" w14:textId="1633772E" w:rsidR="005E454E" w:rsidRDefault="005E454E" w:rsidP="005E454E">
            <w:pPr>
              <w:tabs>
                <w:tab w:val="center" w:pos="4252"/>
                <w:tab w:val="right" w:pos="8504"/>
              </w:tabs>
              <w:jc w:val="both"/>
              <w:rPr>
                <w:rFonts w:ascii="Arial" w:hAnsi="Arial" w:cs="Arial"/>
                <w:sz w:val="22"/>
                <w:szCs w:val="22"/>
              </w:rPr>
            </w:pPr>
            <w:r>
              <w:rPr>
                <w:rFonts w:ascii="Arial" w:hAnsi="Arial" w:cs="Arial"/>
                <w:sz w:val="22"/>
                <w:szCs w:val="22"/>
              </w:rPr>
              <w:t xml:space="preserve">En el numeral “a) </w:t>
            </w:r>
            <w:r w:rsidRPr="00E76B1A">
              <w:rPr>
                <w:rFonts w:ascii="Arial" w:hAnsi="Arial" w:cs="Arial"/>
                <w:sz w:val="22"/>
                <w:szCs w:val="22"/>
                <w:lang w:val="es-CL"/>
              </w:rPr>
              <w:t>Automatismo transitorio de EDAG en la Zona Norte (Fase 0)</w:t>
            </w:r>
            <w:r>
              <w:rPr>
                <w:rFonts w:ascii="Arial" w:hAnsi="Arial" w:cs="Arial"/>
                <w:sz w:val="22"/>
                <w:szCs w:val="22"/>
                <w:lang w:val="es-CL"/>
              </w:rPr>
              <w:t>” de la página 98 se indica:</w:t>
            </w:r>
            <w:r>
              <w:rPr>
                <w:rFonts w:ascii="Arial" w:hAnsi="Arial" w:cs="Arial"/>
                <w:sz w:val="22"/>
                <w:szCs w:val="22"/>
                <w:lang w:val="es-CL"/>
              </w:rPr>
              <w:t xml:space="preserve"> “(…) las unidades de la tabla 10-2 ya </w:t>
            </w:r>
            <w:r w:rsidRPr="003B145D">
              <w:rPr>
                <w:rFonts w:ascii="Arial" w:hAnsi="Arial" w:cs="Arial"/>
                <w:sz w:val="22"/>
                <w:szCs w:val="22"/>
                <w:lang w:val="es-CL"/>
              </w:rPr>
              <w:t>sea se encuentren o no implementadas en el EDAG ZN Fase 0, serán instruidas para que se adecúen o integren de acuerdo con los ajustes ahí indicados</w:t>
            </w:r>
            <w:r>
              <w:rPr>
                <w:rFonts w:ascii="Arial" w:hAnsi="Arial" w:cs="Arial"/>
                <w:sz w:val="22"/>
                <w:szCs w:val="22"/>
                <w:lang w:val="es-CL"/>
              </w:rPr>
              <w:t xml:space="preserve"> (…)” Se solicita que se indique, al igual que en la sección 7.3.2.1, numeral a), párrafo 6 (página 80), que su implementación se llevará a cabo mediante el ajuste de sus protecciones de </w:t>
            </w:r>
            <w:proofErr w:type="spellStart"/>
            <w:r>
              <w:rPr>
                <w:rFonts w:ascii="Arial" w:hAnsi="Arial" w:cs="Arial"/>
                <w:sz w:val="22"/>
                <w:szCs w:val="22"/>
                <w:lang w:val="es-CL"/>
              </w:rPr>
              <w:t>sobrefrecuencia</w:t>
            </w:r>
            <w:proofErr w:type="spellEnd"/>
            <w:r>
              <w:rPr>
                <w:rFonts w:ascii="Arial" w:hAnsi="Arial" w:cs="Arial"/>
                <w:sz w:val="22"/>
                <w:szCs w:val="22"/>
                <w:lang w:val="es-CL"/>
              </w:rPr>
              <w:t xml:space="preserve"> existentes con el fin tanto de agilizar la implementación como de reducir los costos en los que se incurrirá para su habilitación.</w:t>
            </w:r>
          </w:p>
        </w:tc>
      </w:tr>
      <w:tr w:rsidR="005E454E" w:rsidRPr="00C9500A" w14:paraId="1BBF4B98" w14:textId="77777777" w:rsidTr="00372696">
        <w:trPr>
          <w:trHeight w:val="565"/>
        </w:trPr>
        <w:tc>
          <w:tcPr>
            <w:tcW w:w="920" w:type="pct"/>
          </w:tcPr>
          <w:p w14:paraId="4584B2DE" w14:textId="767F0B42"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t>Cóndor Energía y Huemul Energía</w:t>
            </w:r>
          </w:p>
        </w:tc>
        <w:tc>
          <w:tcPr>
            <w:tcW w:w="533" w:type="pct"/>
          </w:tcPr>
          <w:p w14:paraId="0ECEC1AC" w14:textId="33A6741D"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w:t>
            </w:r>
          </w:p>
        </w:tc>
        <w:tc>
          <w:tcPr>
            <w:tcW w:w="530" w:type="pct"/>
          </w:tcPr>
          <w:p w14:paraId="2CE8A0DA" w14:textId="0984056F"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10.3</w:t>
            </w:r>
          </w:p>
        </w:tc>
        <w:tc>
          <w:tcPr>
            <w:tcW w:w="3017" w:type="pct"/>
          </w:tcPr>
          <w:p w14:paraId="736F9BF7" w14:textId="66906B72" w:rsidR="005E454E" w:rsidRDefault="005E454E" w:rsidP="005E454E">
            <w:pPr>
              <w:tabs>
                <w:tab w:val="center" w:pos="4252"/>
                <w:tab w:val="right" w:pos="8504"/>
              </w:tabs>
              <w:jc w:val="both"/>
              <w:rPr>
                <w:rFonts w:ascii="Arial" w:hAnsi="Arial" w:cs="Arial"/>
                <w:sz w:val="22"/>
                <w:szCs w:val="22"/>
              </w:rPr>
            </w:pPr>
            <w:r>
              <w:rPr>
                <w:rFonts w:ascii="Arial" w:hAnsi="Arial" w:cs="Arial"/>
                <w:sz w:val="22"/>
                <w:szCs w:val="22"/>
              </w:rPr>
              <w:t>En el numeral “</w:t>
            </w:r>
            <w:r>
              <w:rPr>
                <w:rFonts w:ascii="Arial" w:hAnsi="Arial" w:cs="Arial"/>
                <w:sz w:val="22"/>
                <w:szCs w:val="22"/>
              </w:rPr>
              <w:t>c</w:t>
            </w:r>
            <w:r>
              <w:rPr>
                <w:rFonts w:ascii="Arial" w:hAnsi="Arial" w:cs="Arial"/>
                <w:sz w:val="22"/>
                <w:szCs w:val="22"/>
              </w:rPr>
              <w:t xml:space="preserve">) </w:t>
            </w:r>
            <w:r>
              <w:rPr>
                <w:rFonts w:ascii="Arial" w:hAnsi="Arial" w:cs="Arial"/>
                <w:sz w:val="22"/>
                <w:szCs w:val="22"/>
                <w:lang w:val="es-CL"/>
              </w:rPr>
              <w:t>EDAG asociado a PDCE Zona Norte</w:t>
            </w:r>
            <w:r>
              <w:rPr>
                <w:rFonts w:ascii="Arial" w:hAnsi="Arial" w:cs="Arial"/>
                <w:sz w:val="22"/>
                <w:szCs w:val="22"/>
                <w:lang w:val="es-CL"/>
              </w:rPr>
              <w:t>” de la página 9</w:t>
            </w:r>
            <w:r>
              <w:rPr>
                <w:rFonts w:ascii="Arial" w:hAnsi="Arial" w:cs="Arial"/>
                <w:sz w:val="22"/>
                <w:szCs w:val="22"/>
                <w:lang w:val="es-CL"/>
              </w:rPr>
              <w:t xml:space="preserve">9 no se hace referencia a los parques eólicos de capacidad mayor a 20 MW cuya integración a los tres primeros escalones del EDAG de la Zona SEN Centro-Sur será instruida para dar completitud al esquema, lo cual se detalla en la sección “7.3.2.1 EDAG por Contingencia Específica” (Tabla 7-13). </w:t>
            </w:r>
            <w:r>
              <w:rPr>
                <w:rFonts w:ascii="Arial" w:hAnsi="Arial" w:cs="Arial"/>
                <w:sz w:val="22"/>
                <w:szCs w:val="22"/>
                <w:lang w:val="es-CL"/>
              </w:rPr>
              <w:t xml:space="preserve">Se solicita que se </w:t>
            </w:r>
            <w:r>
              <w:rPr>
                <w:rFonts w:ascii="Arial" w:hAnsi="Arial" w:cs="Arial"/>
                <w:sz w:val="22"/>
                <w:szCs w:val="22"/>
                <w:lang w:val="es-CL"/>
              </w:rPr>
              <w:t>detalle</w:t>
            </w:r>
            <w:r>
              <w:rPr>
                <w:rFonts w:ascii="Arial" w:hAnsi="Arial" w:cs="Arial"/>
                <w:sz w:val="22"/>
                <w:szCs w:val="22"/>
                <w:lang w:val="es-CL"/>
              </w:rPr>
              <w:t xml:space="preserve">, al igual que en la sección 7.3.2.1, numeral </w:t>
            </w:r>
            <w:r>
              <w:rPr>
                <w:rFonts w:ascii="Arial" w:hAnsi="Arial" w:cs="Arial"/>
                <w:sz w:val="22"/>
                <w:szCs w:val="22"/>
                <w:lang w:val="es-CL"/>
              </w:rPr>
              <w:t>c</w:t>
            </w:r>
            <w:r>
              <w:rPr>
                <w:rFonts w:ascii="Arial" w:hAnsi="Arial" w:cs="Arial"/>
                <w:sz w:val="22"/>
                <w:szCs w:val="22"/>
                <w:lang w:val="es-CL"/>
              </w:rPr>
              <w:t xml:space="preserve">), </w:t>
            </w:r>
            <w:r>
              <w:rPr>
                <w:rFonts w:ascii="Arial" w:hAnsi="Arial" w:cs="Arial"/>
                <w:sz w:val="22"/>
                <w:szCs w:val="22"/>
                <w:lang w:val="es-CL"/>
              </w:rPr>
              <w:t>el listado de centrales cuya integración al esquema será instruida</w:t>
            </w:r>
            <w:r>
              <w:rPr>
                <w:rFonts w:ascii="Arial" w:hAnsi="Arial" w:cs="Arial"/>
                <w:sz w:val="22"/>
                <w:szCs w:val="22"/>
                <w:lang w:val="es-CL"/>
              </w:rPr>
              <w:t xml:space="preserve">, </w:t>
            </w:r>
            <w:r>
              <w:rPr>
                <w:rFonts w:ascii="Arial" w:hAnsi="Arial" w:cs="Arial"/>
                <w:sz w:val="22"/>
                <w:szCs w:val="22"/>
                <w:lang w:val="es-CL"/>
              </w:rPr>
              <w:t xml:space="preserve">y </w:t>
            </w:r>
            <w:r>
              <w:rPr>
                <w:rFonts w:ascii="Arial" w:hAnsi="Arial" w:cs="Arial"/>
                <w:sz w:val="22"/>
                <w:szCs w:val="22"/>
                <w:lang w:val="es-CL"/>
              </w:rPr>
              <w:t xml:space="preserve">que su implementación se llevará a cabo mediante el ajuste de sus protecciones de </w:t>
            </w:r>
            <w:proofErr w:type="spellStart"/>
            <w:r>
              <w:rPr>
                <w:rFonts w:ascii="Arial" w:hAnsi="Arial" w:cs="Arial"/>
                <w:sz w:val="22"/>
                <w:szCs w:val="22"/>
                <w:lang w:val="es-CL"/>
              </w:rPr>
              <w:t>sobrefrecuencia</w:t>
            </w:r>
            <w:proofErr w:type="spellEnd"/>
            <w:r>
              <w:rPr>
                <w:rFonts w:ascii="Arial" w:hAnsi="Arial" w:cs="Arial"/>
                <w:sz w:val="22"/>
                <w:szCs w:val="22"/>
                <w:lang w:val="es-CL"/>
              </w:rPr>
              <w:t xml:space="preserve"> existentes con el fin tanto de agilizar la implementación como de reducir los costos en los que se incurrirá para su habilitación.</w:t>
            </w:r>
          </w:p>
        </w:tc>
      </w:tr>
      <w:tr w:rsidR="005E454E" w:rsidRPr="00C9500A" w14:paraId="1A816F72" w14:textId="77777777" w:rsidTr="00372696">
        <w:trPr>
          <w:trHeight w:val="565"/>
        </w:trPr>
        <w:tc>
          <w:tcPr>
            <w:tcW w:w="920" w:type="pct"/>
          </w:tcPr>
          <w:p w14:paraId="308FC675" w14:textId="02DFD58C"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t>Cóndor Energía y Huemul Energía</w:t>
            </w:r>
          </w:p>
        </w:tc>
        <w:tc>
          <w:tcPr>
            <w:tcW w:w="533" w:type="pct"/>
          </w:tcPr>
          <w:p w14:paraId="16BD3F56" w14:textId="0F4F767F"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11</w:t>
            </w:r>
          </w:p>
        </w:tc>
        <w:tc>
          <w:tcPr>
            <w:tcW w:w="530" w:type="pct"/>
          </w:tcPr>
          <w:p w14:paraId="75338EFF" w14:textId="2536CE45" w:rsidR="005E454E" w:rsidRDefault="005E454E" w:rsidP="005E454E">
            <w:pPr>
              <w:tabs>
                <w:tab w:val="center" w:pos="4252"/>
                <w:tab w:val="right" w:pos="8504"/>
              </w:tabs>
              <w:jc w:val="center"/>
              <w:rPr>
                <w:rFonts w:ascii="Arial" w:hAnsi="Arial" w:cs="Arial"/>
                <w:sz w:val="22"/>
                <w:szCs w:val="22"/>
              </w:rPr>
            </w:pPr>
            <w:r>
              <w:rPr>
                <w:rFonts w:ascii="Arial" w:hAnsi="Arial" w:cs="Arial"/>
                <w:sz w:val="22"/>
                <w:szCs w:val="22"/>
              </w:rPr>
              <w:t>ANEXO E</w:t>
            </w:r>
          </w:p>
        </w:tc>
        <w:tc>
          <w:tcPr>
            <w:tcW w:w="3017" w:type="pct"/>
          </w:tcPr>
          <w:p w14:paraId="5601B4C9" w14:textId="62406069" w:rsidR="005E454E" w:rsidRDefault="005E454E" w:rsidP="005E454E">
            <w:pPr>
              <w:tabs>
                <w:tab w:val="center" w:pos="4252"/>
                <w:tab w:val="right" w:pos="8504"/>
              </w:tabs>
              <w:jc w:val="both"/>
              <w:rPr>
                <w:rFonts w:ascii="Arial" w:hAnsi="Arial" w:cs="Arial"/>
                <w:sz w:val="22"/>
                <w:szCs w:val="22"/>
              </w:rPr>
            </w:pPr>
            <w:r>
              <w:rPr>
                <w:rFonts w:ascii="Arial" w:hAnsi="Arial" w:cs="Arial"/>
                <w:sz w:val="22"/>
                <w:szCs w:val="22"/>
              </w:rPr>
              <w:t>En la planilla “Control de contingencias.xls” de instalaciones que participan en el SC de Control de Contingencias, en la hoja “EDAG-CE Propuesto”, no se han incluido las unidades que se detallan en la Tabla 7-</w:t>
            </w:r>
            <w:r>
              <w:rPr>
                <w:rFonts w:ascii="Arial" w:hAnsi="Arial" w:cs="Arial"/>
                <w:sz w:val="22"/>
                <w:szCs w:val="22"/>
              </w:rPr>
              <w:t>9</w:t>
            </w:r>
            <w:r>
              <w:rPr>
                <w:rFonts w:ascii="Arial" w:hAnsi="Arial" w:cs="Arial"/>
                <w:sz w:val="22"/>
                <w:szCs w:val="22"/>
              </w:rPr>
              <w:t xml:space="preserve"> de la sección “7.3.2.1 EDAG por Contingencia Específica”, numeral </w:t>
            </w:r>
            <w:r>
              <w:rPr>
                <w:rFonts w:ascii="Arial" w:hAnsi="Arial" w:cs="Arial"/>
                <w:sz w:val="22"/>
                <w:szCs w:val="22"/>
              </w:rPr>
              <w:t>“a</w:t>
            </w:r>
            <w:r>
              <w:rPr>
                <w:rFonts w:ascii="Arial" w:hAnsi="Arial" w:cs="Arial"/>
                <w:sz w:val="22"/>
                <w:szCs w:val="22"/>
              </w:rPr>
              <w:t>)</w:t>
            </w:r>
            <w:r>
              <w:rPr>
                <w:rFonts w:ascii="Arial" w:hAnsi="Arial" w:cs="Arial"/>
                <w:sz w:val="22"/>
                <w:szCs w:val="22"/>
              </w:rPr>
              <w:t xml:space="preserve"> Automatismo transitorio de EDAG en la Zona Norte (Fase 0)”</w:t>
            </w:r>
            <w:r>
              <w:rPr>
                <w:rFonts w:ascii="Arial" w:hAnsi="Arial" w:cs="Arial"/>
                <w:sz w:val="22"/>
                <w:szCs w:val="22"/>
              </w:rPr>
              <w:t xml:space="preserve">, las cuales se han incluido para dar completitud a los escalones del EDAG </w:t>
            </w:r>
            <w:r>
              <w:rPr>
                <w:rFonts w:ascii="Arial" w:hAnsi="Arial" w:cs="Arial"/>
                <w:sz w:val="22"/>
                <w:szCs w:val="22"/>
              </w:rPr>
              <w:t xml:space="preserve">Zona Norte Fase 0, </w:t>
            </w:r>
            <w:r>
              <w:rPr>
                <w:rFonts w:ascii="Arial" w:hAnsi="Arial" w:cs="Arial"/>
                <w:sz w:val="22"/>
                <w:szCs w:val="22"/>
              </w:rPr>
              <w:t>con su participación en un escalón fijo mediante relés de frecuencia</w:t>
            </w:r>
            <w:r>
              <w:rPr>
                <w:rFonts w:ascii="Arial" w:hAnsi="Arial" w:cs="Arial"/>
                <w:sz w:val="22"/>
                <w:szCs w:val="22"/>
              </w:rPr>
              <w:t xml:space="preserve"> existentes</w:t>
            </w:r>
            <w:r>
              <w:rPr>
                <w:rFonts w:ascii="Arial" w:hAnsi="Arial" w:cs="Arial"/>
                <w:sz w:val="22"/>
                <w:szCs w:val="22"/>
              </w:rPr>
              <w:t>. Se solicita, al igual que para el EDAG de la Zona Norte, incluir una tabla en la hoja “EDAG-CE Propuesto”, similar a la Tabla 7-</w:t>
            </w:r>
            <w:r>
              <w:rPr>
                <w:rFonts w:ascii="Arial" w:hAnsi="Arial" w:cs="Arial"/>
                <w:sz w:val="22"/>
                <w:szCs w:val="22"/>
              </w:rPr>
              <w:t>9</w:t>
            </w:r>
            <w:r>
              <w:rPr>
                <w:rFonts w:ascii="Arial" w:hAnsi="Arial" w:cs="Arial"/>
                <w:sz w:val="22"/>
                <w:szCs w:val="22"/>
              </w:rPr>
              <w:t xml:space="preserve"> mencionada, con las centrales que se instruyen para participar en el EDAG </w:t>
            </w:r>
            <w:r>
              <w:rPr>
                <w:rFonts w:ascii="Arial" w:hAnsi="Arial" w:cs="Arial"/>
                <w:sz w:val="22"/>
                <w:szCs w:val="22"/>
              </w:rPr>
              <w:t>Zona Norte Fase 0</w:t>
            </w:r>
            <w:r>
              <w:rPr>
                <w:rFonts w:ascii="Arial" w:hAnsi="Arial" w:cs="Arial"/>
                <w:sz w:val="22"/>
                <w:szCs w:val="22"/>
              </w:rPr>
              <w:t>.</w:t>
            </w:r>
            <w:r>
              <w:rPr>
                <w:rFonts w:ascii="Arial" w:hAnsi="Arial" w:cs="Arial"/>
                <w:sz w:val="22"/>
                <w:szCs w:val="22"/>
              </w:rPr>
              <w:t xml:space="preserve"> Se sugiere incluir dicha tabla a continuación de la tabla “1. EDAG Zona Norte Fase 0”.</w:t>
            </w:r>
          </w:p>
        </w:tc>
      </w:tr>
      <w:tr w:rsidR="005E454E" w:rsidRPr="00C9500A" w14:paraId="732234CB" w14:textId="77777777" w:rsidTr="00372696">
        <w:trPr>
          <w:trHeight w:val="565"/>
        </w:trPr>
        <w:tc>
          <w:tcPr>
            <w:tcW w:w="920" w:type="pct"/>
          </w:tcPr>
          <w:p w14:paraId="20B1FB7D" w14:textId="601004FE" w:rsidR="005E454E" w:rsidRPr="00C9500A" w:rsidRDefault="005E454E" w:rsidP="005E454E">
            <w:pPr>
              <w:tabs>
                <w:tab w:val="center" w:pos="4252"/>
                <w:tab w:val="right" w:pos="8504"/>
              </w:tabs>
              <w:jc w:val="center"/>
              <w:rPr>
                <w:rFonts w:ascii="Arial" w:hAnsi="Arial" w:cs="Arial"/>
                <w:sz w:val="22"/>
                <w:szCs w:val="22"/>
              </w:rPr>
            </w:pPr>
            <w:r w:rsidRPr="00832753">
              <w:rPr>
                <w:rFonts w:ascii="Arial" w:hAnsi="Arial" w:cs="Arial"/>
                <w:sz w:val="22"/>
                <w:szCs w:val="22"/>
              </w:rPr>
              <w:t>Cóndor Energía y Huemul Energía</w:t>
            </w:r>
          </w:p>
        </w:tc>
        <w:tc>
          <w:tcPr>
            <w:tcW w:w="533" w:type="pct"/>
          </w:tcPr>
          <w:p w14:paraId="67099E1C" w14:textId="50F77E82" w:rsidR="005E454E" w:rsidRPr="00C9500A" w:rsidRDefault="005E454E" w:rsidP="005E454E">
            <w:pPr>
              <w:tabs>
                <w:tab w:val="center" w:pos="4252"/>
                <w:tab w:val="right" w:pos="8504"/>
              </w:tabs>
              <w:jc w:val="center"/>
              <w:rPr>
                <w:rFonts w:ascii="Arial" w:hAnsi="Arial" w:cs="Arial"/>
                <w:sz w:val="22"/>
                <w:szCs w:val="22"/>
              </w:rPr>
            </w:pPr>
            <w:r>
              <w:rPr>
                <w:rFonts w:ascii="Arial" w:hAnsi="Arial" w:cs="Arial"/>
                <w:sz w:val="22"/>
                <w:szCs w:val="22"/>
              </w:rPr>
              <w:t>11</w:t>
            </w:r>
          </w:p>
        </w:tc>
        <w:tc>
          <w:tcPr>
            <w:tcW w:w="530" w:type="pct"/>
          </w:tcPr>
          <w:p w14:paraId="77037EBF" w14:textId="38E84166" w:rsidR="005E454E" w:rsidRPr="00C9500A" w:rsidRDefault="005E454E" w:rsidP="005E454E">
            <w:pPr>
              <w:tabs>
                <w:tab w:val="center" w:pos="4252"/>
                <w:tab w:val="right" w:pos="8504"/>
              </w:tabs>
              <w:jc w:val="center"/>
              <w:rPr>
                <w:rFonts w:ascii="Arial" w:hAnsi="Arial" w:cs="Arial"/>
                <w:sz w:val="22"/>
                <w:szCs w:val="22"/>
              </w:rPr>
            </w:pPr>
            <w:r>
              <w:rPr>
                <w:rFonts w:ascii="Arial" w:hAnsi="Arial" w:cs="Arial"/>
                <w:sz w:val="22"/>
                <w:szCs w:val="22"/>
              </w:rPr>
              <w:t>ANEXO E</w:t>
            </w:r>
          </w:p>
        </w:tc>
        <w:tc>
          <w:tcPr>
            <w:tcW w:w="3017" w:type="pct"/>
          </w:tcPr>
          <w:p w14:paraId="683923E0" w14:textId="4A476BF1" w:rsidR="005E454E" w:rsidRPr="00C9500A" w:rsidRDefault="005E454E" w:rsidP="005E454E">
            <w:pPr>
              <w:tabs>
                <w:tab w:val="center" w:pos="4252"/>
                <w:tab w:val="right" w:pos="8504"/>
              </w:tabs>
              <w:jc w:val="both"/>
              <w:rPr>
                <w:rFonts w:ascii="Arial" w:hAnsi="Arial" w:cs="Arial"/>
                <w:sz w:val="22"/>
                <w:szCs w:val="22"/>
              </w:rPr>
            </w:pPr>
            <w:r>
              <w:rPr>
                <w:rFonts w:ascii="Arial" w:hAnsi="Arial" w:cs="Arial"/>
                <w:sz w:val="22"/>
                <w:szCs w:val="22"/>
              </w:rPr>
              <w:t xml:space="preserve">En la planilla “Control de contingencias.xls” de instalaciones que participan en el SC de Control de Contingencias, en la hoja “EDAG-CE Propuesto”, no se han incluido las unidades que se detallan en la Tabla 7-13 de la sección “7.3.2.1 EDAG por Contingencia </w:t>
            </w:r>
            <w:r>
              <w:rPr>
                <w:rFonts w:ascii="Arial" w:hAnsi="Arial" w:cs="Arial"/>
                <w:sz w:val="22"/>
                <w:szCs w:val="22"/>
              </w:rPr>
              <w:lastRenderedPageBreak/>
              <w:t xml:space="preserve">Específica”, numeral “c) EDAG asociado a PDCE Zona Norte”, las cuales se han incluido para dar completitud a los escalones del EDAG de la Zona Centro-Sur con su participación en un escalón fijo mediante relés de frecuencia. Se solicita, al igual que para el EDAG de la Zona Norte, incluir una tabla en la hoja “EDAG-CE Propuesto”, similar a la Tabla 7-13 mencionada, con las centrales que se instruyen para participar en el EDAG de la Zona Centro Sur. Se sugiere incluir dicha tabla a continuación de la tabla “Unidades participantes EDAG Zona Centro-Sur – Unidades con ajuste de </w:t>
            </w:r>
            <w:proofErr w:type="spellStart"/>
            <w:r>
              <w:rPr>
                <w:rFonts w:ascii="Arial" w:hAnsi="Arial" w:cs="Arial"/>
                <w:sz w:val="22"/>
                <w:szCs w:val="22"/>
              </w:rPr>
              <w:t>sobrefrecuencia</w:t>
            </w:r>
            <w:proofErr w:type="spellEnd"/>
            <w:r>
              <w:rPr>
                <w:rFonts w:ascii="Arial" w:hAnsi="Arial" w:cs="Arial"/>
                <w:sz w:val="22"/>
                <w:szCs w:val="22"/>
              </w:rPr>
              <w:t xml:space="preserve"> fijo”.</w:t>
            </w:r>
          </w:p>
        </w:tc>
      </w:tr>
    </w:tbl>
    <w:p w14:paraId="1EEB06A2" w14:textId="77777777" w:rsidR="00C9500A" w:rsidRDefault="00C9500A" w:rsidP="00327935">
      <w:pPr>
        <w:keepLines/>
        <w:jc w:val="both"/>
        <w:rPr>
          <w:rFonts w:ascii="Arial" w:hAnsi="Arial" w:cs="Arial"/>
        </w:rPr>
      </w:pPr>
    </w:p>
    <w:sectPr w:rsidR="00C9500A" w:rsidSect="00C9500A">
      <w:headerReference w:type="default" r:id="rId11"/>
      <w:footerReference w:type="default" r:id="rId12"/>
      <w:pgSz w:w="12240" w:h="15840"/>
      <w:pgMar w:top="1417" w:right="1440" w:bottom="1417" w:left="1260" w:header="426" w:footer="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7A223" w14:textId="77777777" w:rsidR="00D44FED" w:rsidRDefault="00D44FED" w:rsidP="00AC4371">
      <w:r>
        <w:separator/>
      </w:r>
    </w:p>
  </w:endnote>
  <w:endnote w:type="continuationSeparator" w:id="0">
    <w:p w14:paraId="4DDA3A17" w14:textId="77777777" w:rsidR="00D44FED" w:rsidRDefault="00D44FED" w:rsidP="00AC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Ebrima"/>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BEE3" w14:textId="77777777" w:rsidR="00AC4371" w:rsidRDefault="00AC4371" w:rsidP="00AC4371">
    <w:pPr>
      <w:pStyle w:val="Piedepgina"/>
    </w:pPr>
  </w:p>
  <w:p w14:paraId="04102D9B" w14:textId="77777777" w:rsidR="005B4EE3" w:rsidRDefault="005B4EE3" w:rsidP="005543E5">
    <w:pPr>
      <w:tabs>
        <w:tab w:val="center" w:pos="4419"/>
        <w:tab w:val="right" w:pos="8838"/>
      </w:tabs>
      <w:jc w:val="center"/>
      <w:rPr>
        <w:rFonts w:ascii="Arial" w:hAnsi="Arial" w:cs="Arial"/>
        <w:color w:val="808080"/>
        <w:sz w:val="16"/>
        <w:szCs w:val="16"/>
      </w:rPr>
    </w:pPr>
    <w:r>
      <w:rPr>
        <w:rFonts w:ascii="Arial" w:hAnsi="Arial" w:cs="Arial"/>
        <w:color w:val="808080"/>
        <w:sz w:val="16"/>
        <w:szCs w:val="16"/>
      </w:rPr>
      <w:t xml:space="preserve">Av. Parque Isidora N°1061, Pudahuel, Santiago de Chile Teléfono (+562) 2424 6300 </w:t>
    </w:r>
  </w:p>
  <w:p w14:paraId="62DFAAED" w14:textId="13A034A4" w:rsidR="005543E5" w:rsidRPr="00315AFD" w:rsidRDefault="005543E5" w:rsidP="005543E5">
    <w:pPr>
      <w:tabs>
        <w:tab w:val="center" w:pos="4419"/>
        <w:tab w:val="right" w:pos="8838"/>
      </w:tabs>
      <w:jc w:val="center"/>
      <w:rPr>
        <w:rFonts w:ascii="Arial" w:eastAsia="Times New Roman" w:hAnsi="Arial" w:cs="Arial"/>
        <w:color w:val="808080"/>
        <w:sz w:val="16"/>
        <w:szCs w:val="16"/>
        <w:lang w:val="es-ES"/>
      </w:rPr>
    </w:pPr>
    <w:hyperlink r:id="rId1" w:history="1">
      <w:r w:rsidRPr="00315AFD">
        <w:rPr>
          <w:rFonts w:ascii="Arial" w:eastAsia="Times New Roman" w:hAnsi="Arial" w:cs="Arial"/>
          <w:color w:val="808080"/>
          <w:sz w:val="16"/>
          <w:szCs w:val="16"/>
          <w:lang w:val="es-ES"/>
        </w:rPr>
        <w:t>www.coordinador.cl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3597" w14:textId="77777777" w:rsidR="00D44FED" w:rsidRDefault="00D44FED" w:rsidP="00AC4371">
      <w:r>
        <w:separator/>
      </w:r>
    </w:p>
  </w:footnote>
  <w:footnote w:type="continuationSeparator" w:id="0">
    <w:p w14:paraId="2E4D9DF7" w14:textId="77777777" w:rsidR="00D44FED" w:rsidRDefault="00D44FED" w:rsidP="00AC4371">
      <w:r>
        <w:continuationSeparator/>
      </w:r>
    </w:p>
  </w:footnote>
  <w:footnote w:id="1">
    <w:p w14:paraId="4EFBF83C" w14:textId="77777777" w:rsidR="00C9500A" w:rsidRPr="00C9500A" w:rsidRDefault="00C9500A" w:rsidP="00C9500A">
      <w:pPr>
        <w:pStyle w:val="Textonotapie"/>
        <w:rPr>
          <w:rFonts w:ascii="Arial" w:hAnsi="Arial" w:cs="Arial"/>
          <w:sz w:val="16"/>
          <w:szCs w:val="16"/>
        </w:rPr>
      </w:pPr>
      <w:r w:rsidRPr="00C9500A">
        <w:rPr>
          <w:rStyle w:val="Refdenotaalpie"/>
          <w:rFonts w:ascii="Arial" w:hAnsi="Arial" w:cs="Arial"/>
          <w:sz w:val="16"/>
          <w:szCs w:val="16"/>
        </w:rPr>
        <w:footnoteRef/>
      </w:r>
      <w:r w:rsidRPr="00C9500A">
        <w:rPr>
          <w:rFonts w:ascii="Arial" w:hAnsi="Arial" w:cs="Arial"/>
          <w:sz w:val="16"/>
          <w:szCs w:val="16"/>
        </w:rPr>
        <w:t xml:space="preserve"> Se solicita enviar la presente planilla con sus observaciones y/o comentarios en formato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9007" w14:textId="77777777" w:rsidR="00AC4371" w:rsidRDefault="6CABDD62" w:rsidP="00AC4371">
    <w:pPr>
      <w:pStyle w:val="Encabezado"/>
      <w:jc w:val="right"/>
    </w:pPr>
    <w:r>
      <w:rPr>
        <w:noProof/>
        <w:lang w:val="es-MX" w:eastAsia="es-MX"/>
      </w:rPr>
      <w:drawing>
        <wp:inline distT="0" distB="0" distL="0" distR="0" wp14:anchorId="751DEE51" wp14:editId="184CA253">
          <wp:extent cx="1381125" cy="838200"/>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1381125"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2C7"/>
    <w:multiLevelType w:val="hybridMultilevel"/>
    <w:tmpl w:val="6A92F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5862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C64960"/>
    <w:multiLevelType w:val="hybridMultilevel"/>
    <w:tmpl w:val="401837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5412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48109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643695"/>
    <w:multiLevelType w:val="hybridMultilevel"/>
    <w:tmpl w:val="6A36FA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7B2399"/>
    <w:multiLevelType w:val="hybridMultilevel"/>
    <w:tmpl w:val="0C0A001D"/>
    <w:lvl w:ilvl="0" w:tplc="63181DC4">
      <w:start w:val="1"/>
      <w:numFmt w:val="decimal"/>
      <w:lvlText w:val="%1)"/>
      <w:lvlJc w:val="left"/>
      <w:pPr>
        <w:ind w:left="360" w:hanging="360"/>
      </w:pPr>
    </w:lvl>
    <w:lvl w:ilvl="1" w:tplc="4A04CC6C">
      <w:start w:val="1"/>
      <w:numFmt w:val="lowerLetter"/>
      <w:lvlText w:val="%2)"/>
      <w:lvlJc w:val="left"/>
      <w:pPr>
        <w:ind w:left="720" w:hanging="360"/>
      </w:pPr>
    </w:lvl>
    <w:lvl w:ilvl="2" w:tplc="C96A80D6">
      <w:start w:val="1"/>
      <w:numFmt w:val="lowerRoman"/>
      <w:lvlText w:val="%3)"/>
      <w:lvlJc w:val="left"/>
      <w:pPr>
        <w:ind w:left="1080" w:hanging="360"/>
      </w:pPr>
    </w:lvl>
    <w:lvl w:ilvl="3" w:tplc="127A4720">
      <w:start w:val="1"/>
      <w:numFmt w:val="decimal"/>
      <w:lvlText w:val="(%4)"/>
      <w:lvlJc w:val="left"/>
      <w:pPr>
        <w:ind w:left="1440" w:hanging="360"/>
      </w:pPr>
    </w:lvl>
    <w:lvl w:ilvl="4" w:tplc="247E42E6">
      <w:start w:val="1"/>
      <w:numFmt w:val="lowerLetter"/>
      <w:lvlText w:val="(%5)"/>
      <w:lvlJc w:val="left"/>
      <w:pPr>
        <w:ind w:left="1800" w:hanging="360"/>
      </w:pPr>
    </w:lvl>
    <w:lvl w:ilvl="5" w:tplc="C574AA72">
      <w:start w:val="1"/>
      <w:numFmt w:val="lowerRoman"/>
      <w:lvlText w:val="(%6)"/>
      <w:lvlJc w:val="left"/>
      <w:pPr>
        <w:ind w:left="2160" w:hanging="360"/>
      </w:pPr>
    </w:lvl>
    <w:lvl w:ilvl="6" w:tplc="8AF44AFA">
      <w:start w:val="1"/>
      <w:numFmt w:val="decimal"/>
      <w:lvlText w:val="%7."/>
      <w:lvlJc w:val="left"/>
      <w:pPr>
        <w:ind w:left="2520" w:hanging="360"/>
      </w:pPr>
    </w:lvl>
    <w:lvl w:ilvl="7" w:tplc="B13A7B36">
      <w:start w:val="1"/>
      <w:numFmt w:val="lowerLetter"/>
      <w:lvlText w:val="%8."/>
      <w:lvlJc w:val="left"/>
      <w:pPr>
        <w:ind w:left="2880" w:hanging="360"/>
      </w:pPr>
    </w:lvl>
    <w:lvl w:ilvl="8" w:tplc="267A81F8">
      <w:start w:val="1"/>
      <w:numFmt w:val="lowerRoman"/>
      <w:lvlText w:val="%9."/>
      <w:lvlJc w:val="left"/>
      <w:pPr>
        <w:ind w:left="3240" w:hanging="360"/>
      </w:pPr>
    </w:lvl>
  </w:abstractNum>
  <w:abstractNum w:abstractNumId="7" w15:restartNumberingAfterBreak="0">
    <w:nsid w:val="54517DD3"/>
    <w:multiLevelType w:val="hybridMultilevel"/>
    <w:tmpl w:val="DC4CF2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B2A2A4E"/>
    <w:multiLevelType w:val="hybridMultilevel"/>
    <w:tmpl w:val="0C0A001D"/>
    <w:styleLink w:val="1ai"/>
    <w:lvl w:ilvl="0" w:tplc="AE5A3372">
      <w:start w:val="1"/>
      <w:numFmt w:val="decimal"/>
      <w:lvlText w:val="%1)"/>
      <w:lvlJc w:val="left"/>
      <w:pPr>
        <w:ind w:left="360" w:hanging="360"/>
      </w:pPr>
    </w:lvl>
    <w:lvl w:ilvl="1" w:tplc="1C566740">
      <w:start w:val="1"/>
      <w:numFmt w:val="lowerLetter"/>
      <w:lvlText w:val="%2)"/>
      <w:lvlJc w:val="left"/>
      <w:pPr>
        <w:ind w:left="720" w:hanging="360"/>
      </w:pPr>
    </w:lvl>
    <w:lvl w:ilvl="2" w:tplc="589850D4">
      <w:start w:val="1"/>
      <w:numFmt w:val="lowerRoman"/>
      <w:lvlText w:val="%3)"/>
      <w:lvlJc w:val="left"/>
      <w:pPr>
        <w:ind w:left="1080" w:hanging="360"/>
      </w:pPr>
    </w:lvl>
    <w:lvl w:ilvl="3" w:tplc="3ACE66C2">
      <w:start w:val="1"/>
      <w:numFmt w:val="decimal"/>
      <w:lvlText w:val="(%4)"/>
      <w:lvlJc w:val="left"/>
      <w:pPr>
        <w:ind w:left="1440" w:hanging="360"/>
      </w:pPr>
    </w:lvl>
    <w:lvl w:ilvl="4" w:tplc="8C681112">
      <w:start w:val="1"/>
      <w:numFmt w:val="lowerLetter"/>
      <w:lvlText w:val="(%5)"/>
      <w:lvlJc w:val="left"/>
      <w:pPr>
        <w:ind w:left="1800" w:hanging="360"/>
      </w:pPr>
    </w:lvl>
    <w:lvl w:ilvl="5" w:tplc="59D48234">
      <w:start w:val="1"/>
      <w:numFmt w:val="lowerRoman"/>
      <w:lvlText w:val="(%6)"/>
      <w:lvlJc w:val="left"/>
      <w:pPr>
        <w:ind w:left="2160" w:hanging="360"/>
      </w:pPr>
    </w:lvl>
    <w:lvl w:ilvl="6" w:tplc="ADFC0FA4">
      <w:start w:val="1"/>
      <w:numFmt w:val="decimal"/>
      <w:lvlText w:val="%7."/>
      <w:lvlJc w:val="left"/>
      <w:pPr>
        <w:ind w:left="2520" w:hanging="360"/>
      </w:pPr>
    </w:lvl>
    <w:lvl w:ilvl="7" w:tplc="68143078">
      <w:start w:val="1"/>
      <w:numFmt w:val="lowerLetter"/>
      <w:lvlText w:val="%8."/>
      <w:lvlJc w:val="left"/>
      <w:pPr>
        <w:ind w:left="2880" w:hanging="360"/>
      </w:pPr>
    </w:lvl>
    <w:lvl w:ilvl="8" w:tplc="CC988F42">
      <w:start w:val="1"/>
      <w:numFmt w:val="lowerRoman"/>
      <w:lvlText w:val="%9."/>
      <w:lvlJc w:val="left"/>
      <w:pPr>
        <w:ind w:left="3240" w:hanging="360"/>
      </w:pPr>
    </w:lvl>
  </w:abstractNum>
  <w:abstractNum w:abstractNumId="9" w15:restartNumberingAfterBreak="0">
    <w:nsid w:val="5B910277"/>
    <w:multiLevelType w:val="hybridMultilevel"/>
    <w:tmpl w:val="84B698AC"/>
    <w:lvl w:ilvl="0" w:tplc="340A0001">
      <w:start w:val="1"/>
      <w:numFmt w:val="bullet"/>
      <w:lvlText w:val=""/>
      <w:lvlJc w:val="left"/>
      <w:pPr>
        <w:ind w:left="3273" w:hanging="360"/>
      </w:pPr>
      <w:rPr>
        <w:rFonts w:ascii="Symbol" w:hAnsi="Symbol" w:hint="default"/>
      </w:rPr>
    </w:lvl>
    <w:lvl w:ilvl="1" w:tplc="340A0003" w:tentative="1">
      <w:start w:val="1"/>
      <w:numFmt w:val="bullet"/>
      <w:lvlText w:val="o"/>
      <w:lvlJc w:val="left"/>
      <w:pPr>
        <w:ind w:left="3993" w:hanging="360"/>
      </w:pPr>
      <w:rPr>
        <w:rFonts w:ascii="Courier New" w:hAnsi="Courier New" w:cs="Courier New" w:hint="default"/>
      </w:rPr>
    </w:lvl>
    <w:lvl w:ilvl="2" w:tplc="340A0005" w:tentative="1">
      <w:start w:val="1"/>
      <w:numFmt w:val="bullet"/>
      <w:lvlText w:val=""/>
      <w:lvlJc w:val="left"/>
      <w:pPr>
        <w:ind w:left="4713" w:hanging="360"/>
      </w:pPr>
      <w:rPr>
        <w:rFonts w:ascii="Wingdings" w:hAnsi="Wingdings" w:hint="default"/>
      </w:rPr>
    </w:lvl>
    <w:lvl w:ilvl="3" w:tplc="340A0001" w:tentative="1">
      <w:start w:val="1"/>
      <w:numFmt w:val="bullet"/>
      <w:lvlText w:val=""/>
      <w:lvlJc w:val="left"/>
      <w:pPr>
        <w:ind w:left="5433" w:hanging="360"/>
      </w:pPr>
      <w:rPr>
        <w:rFonts w:ascii="Symbol" w:hAnsi="Symbol" w:hint="default"/>
      </w:rPr>
    </w:lvl>
    <w:lvl w:ilvl="4" w:tplc="340A0003" w:tentative="1">
      <w:start w:val="1"/>
      <w:numFmt w:val="bullet"/>
      <w:lvlText w:val="o"/>
      <w:lvlJc w:val="left"/>
      <w:pPr>
        <w:ind w:left="6153" w:hanging="360"/>
      </w:pPr>
      <w:rPr>
        <w:rFonts w:ascii="Courier New" w:hAnsi="Courier New" w:cs="Courier New" w:hint="default"/>
      </w:rPr>
    </w:lvl>
    <w:lvl w:ilvl="5" w:tplc="340A0005" w:tentative="1">
      <w:start w:val="1"/>
      <w:numFmt w:val="bullet"/>
      <w:lvlText w:val=""/>
      <w:lvlJc w:val="left"/>
      <w:pPr>
        <w:ind w:left="6873" w:hanging="360"/>
      </w:pPr>
      <w:rPr>
        <w:rFonts w:ascii="Wingdings" w:hAnsi="Wingdings" w:hint="default"/>
      </w:rPr>
    </w:lvl>
    <w:lvl w:ilvl="6" w:tplc="340A0001" w:tentative="1">
      <w:start w:val="1"/>
      <w:numFmt w:val="bullet"/>
      <w:lvlText w:val=""/>
      <w:lvlJc w:val="left"/>
      <w:pPr>
        <w:ind w:left="7593" w:hanging="360"/>
      </w:pPr>
      <w:rPr>
        <w:rFonts w:ascii="Symbol" w:hAnsi="Symbol" w:hint="default"/>
      </w:rPr>
    </w:lvl>
    <w:lvl w:ilvl="7" w:tplc="340A0003" w:tentative="1">
      <w:start w:val="1"/>
      <w:numFmt w:val="bullet"/>
      <w:lvlText w:val="o"/>
      <w:lvlJc w:val="left"/>
      <w:pPr>
        <w:ind w:left="8313" w:hanging="360"/>
      </w:pPr>
      <w:rPr>
        <w:rFonts w:ascii="Courier New" w:hAnsi="Courier New" w:cs="Courier New" w:hint="default"/>
      </w:rPr>
    </w:lvl>
    <w:lvl w:ilvl="8" w:tplc="340A0005" w:tentative="1">
      <w:start w:val="1"/>
      <w:numFmt w:val="bullet"/>
      <w:lvlText w:val=""/>
      <w:lvlJc w:val="left"/>
      <w:pPr>
        <w:ind w:left="9033" w:hanging="360"/>
      </w:pPr>
      <w:rPr>
        <w:rFonts w:ascii="Wingdings" w:hAnsi="Wingdings" w:hint="default"/>
      </w:rPr>
    </w:lvl>
  </w:abstractNum>
  <w:abstractNum w:abstractNumId="10" w15:restartNumberingAfterBreak="0">
    <w:nsid w:val="6C2F1966"/>
    <w:multiLevelType w:val="hybridMultilevel"/>
    <w:tmpl w:val="DD78E024"/>
    <w:lvl w:ilvl="0" w:tplc="E272D1B0">
      <w:numFmt w:val="bullet"/>
      <w:lvlText w:val="·"/>
      <w:lvlJc w:val="left"/>
      <w:pPr>
        <w:ind w:left="1278" w:hanging="570"/>
      </w:pPr>
      <w:rPr>
        <w:rFonts w:ascii="Arial" w:eastAsia="MS Mincho"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1110782622">
    <w:abstractNumId w:val="6"/>
  </w:num>
  <w:num w:numId="2" w16cid:durableId="675958936">
    <w:abstractNumId w:val="3"/>
  </w:num>
  <w:num w:numId="3" w16cid:durableId="1399397561">
    <w:abstractNumId w:val="4"/>
  </w:num>
  <w:num w:numId="4" w16cid:durableId="1524056321">
    <w:abstractNumId w:val="8"/>
  </w:num>
  <w:num w:numId="5" w16cid:durableId="1266157999">
    <w:abstractNumId w:val="9"/>
  </w:num>
  <w:num w:numId="6" w16cid:durableId="604849573">
    <w:abstractNumId w:val="2"/>
  </w:num>
  <w:num w:numId="7" w16cid:durableId="712273172">
    <w:abstractNumId w:val="0"/>
  </w:num>
  <w:num w:numId="8" w16cid:durableId="1475483102">
    <w:abstractNumId w:val="5"/>
  </w:num>
  <w:num w:numId="9" w16cid:durableId="1811053038">
    <w:abstractNumId w:val="7"/>
  </w:num>
  <w:num w:numId="10" w16cid:durableId="278293703">
    <w:abstractNumId w:val="10"/>
  </w:num>
  <w:num w:numId="11" w16cid:durableId="68775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71"/>
    <w:rsid w:val="000365E8"/>
    <w:rsid w:val="000518DF"/>
    <w:rsid w:val="00051EB7"/>
    <w:rsid w:val="000520F8"/>
    <w:rsid w:val="00052551"/>
    <w:rsid w:val="00052D62"/>
    <w:rsid w:val="00060D6D"/>
    <w:rsid w:val="000655E2"/>
    <w:rsid w:val="000712AD"/>
    <w:rsid w:val="00071F2A"/>
    <w:rsid w:val="00076AB9"/>
    <w:rsid w:val="0008150D"/>
    <w:rsid w:val="00082268"/>
    <w:rsid w:val="000902AC"/>
    <w:rsid w:val="000915D3"/>
    <w:rsid w:val="00091A53"/>
    <w:rsid w:val="00096AAF"/>
    <w:rsid w:val="00097D64"/>
    <w:rsid w:val="000A38D3"/>
    <w:rsid w:val="000B2D44"/>
    <w:rsid w:val="000B2F41"/>
    <w:rsid w:val="000B3ADC"/>
    <w:rsid w:val="000B4490"/>
    <w:rsid w:val="000B5573"/>
    <w:rsid w:val="000D5054"/>
    <w:rsid w:val="000D689C"/>
    <w:rsid w:val="000E25E4"/>
    <w:rsid w:val="000F009E"/>
    <w:rsid w:val="000F340E"/>
    <w:rsid w:val="001015B6"/>
    <w:rsid w:val="00105BF1"/>
    <w:rsid w:val="00114405"/>
    <w:rsid w:val="001179B5"/>
    <w:rsid w:val="00132192"/>
    <w:rsid w:val="001415CF"/>
    <w:rsid w:val="001419CD"/>
    <w:rsid w:val="00144F0A"/>
    <w:rsid w:val="00147565"/>
    <w:rsid w:val="001539F8"/>
    <w:rsid w:val="0017334C"/>
    <w:rsid w:val="00182CA7"/>
    <w:rsid w:val="0018333A"/>
    <w:rsid w:val="00193E07"/>
    <w:rsid w:val="001A11F9"/>
    <w:rsid w:val="001B478B"/>
    <w:rsid w:val="001C0C95"/>
    <w:rsid w:val="001C2AA2"/>
    <w:rsid w:val="001C303D"/>
    <w:rsid w:val="001C73C3"/>
    <w:rsid w:val="001D215B"/>
    <w:rsid w:val="001E552F"/>
    <w:rsid w:val="001E7762"/>
    <w:rsid w:val="002175F5"/>
    <w:rsid w:val="00217A39"/>
    <w:rsid w:val="00221538"/>
    <w:rsid w:val="0023361F"/>
    <w:rsid w:val="0023755C"/>
    <w:rsid w:val="0024350B"/>
    <w:rsid w:val="00245F5B"/>
    <w:rsid w:val="00251ECC"/>
    <w:rsid w:val="0026061A"/>
    <w:rsid w:val="00260E2C"/>
    <w:rsid w:val="00263467"/>
    <w:rsid w:val="0027174A"/>
    <w:rsid w:val="002828BD"/>
    <w:rsid w:val="00285A71"/>
    <w:rsid w:val="00285FB7"/>
    <w:rsid w:val="00297C24"/>
    <w:rsid w:val="002A177E"/>
    <w:rsid w:val="002A63EF"/>
    <w:rsid w:val="002A764E"/>
    <w:rsid w:val="002B1A93"/>
    <w:rsid w:val="002C238B"/>
    <w:rsid w:val="002E24AD"/>
    <w:rsid w:val="002E269C"/>
    <w:rsid w:val="002E3494"/>
    <w:rsid w:val="002E4F14"/>
    <w:rsid w:val="002F0EB8"/>
    <w:rsid w:val="002F4D17"/>
    <w:rsid w:val="00307279"/>
    <w:rsid w:val="003077B7"/>
    <w:rsid w:val="0031628C"/>
    <w:rsid w:val="0032383A"/>
    <w:rsid w:val="00327935"/>
    <w:rsid w:val="00342058"/>
    <w:rsid w:val="00350069"/>
    <w:rsid w:val="00354729"/>
    <w:rsid w:val="00360882"/>
    <w:rsid w:val="00360D58"/>
    <w:rsid w:val="003617D1"/>
    <w:rsid w:val="00363E4E"/>
    <w:rsid w:val="00372696"/>
    <w:rsid w:val="00376530"/>
    <w:rsid w:val="0037789E"/>
    <w:rsid w:val="003819CF"/>
    <w:rsid w:val="00384ACA"/>
    <w:rsid w:val="0039617A"/>
    <w:rsid w:val="003A0015"/>
    <w:rsid w:val="003A0B0F"/>
    <w:rsid w:val="003A1D1C"/>
    <w:rsid w:val="003B145D"/>
    <w:rsid w:val="003B318A"/>
    <w:rsid w:val="003B73F4"/>
    <w:rsid w:val="003C282D"/>
    <w:rsid w:val="003D3F4F"/>
    <w:rsid w:val="003E524B"/>
    <w:rsid w:val="00403022"/>
    <w:rsid w:val="0040692D"/>
    <w:rsid w:val="00406FA2"/>
    <w:rsid w:val="00412066"/>
    <w:rsid w:val="00414AF6"/>
    <w:rsid w:val="0041550A"/>
    <w:rsid w:val="00420793"/>
    <w:rsid w:val="0042634E"/>
    <w:rsid w:val="00436870"/>
    <w:rsid w:val="00442ECA"/>
    <w:rsid w:val="00450B60"/>
    <w:rsid w:val="004605A7"/>
    <w:rsid w:val="00460D57"/>
    <w:rsid w:val="00466799"/>
    <w:rsid w:val="00471E2B"/>
    <w:rsid w:val="00472C23"/>
    <w:rsid w:val="00480D2F"/>
    <w:rsid w:val="00481F9E"/>
    <w:rsid w:val="00481FFF"/>
    <w:rsid w:val="00492FC6"/>
    <w:rsid w:val="00494318"/>
    <w:rsid w:val="00497366"/>
    <w:rsid w:val="004A4482"/>
    <w:rsid w:val="004A4C1E"/>
    <w:rsid w:val="004B0AE6"/>
    <w:rsid w:val="004B48C9"/>
    <w:rsid w:val="004B615C"/>
    <w:rsid w:val="004C0B49"/>
    <w:rsid w:val="004C13CF"/>
    <w:rsid w:val="004D3CE4"/>
    <w:rsid w:val="004D47B8"/>
    <w:rsid w:val="004F4F8A"/>
    <w:rsid w:val="004F6FDE"/>
    <w:rsid w:val="00504691"/>
    <w:rsid w:val="00505464"/>
    <w:rsid w:val="00506678"/>
    <w:rsid w:val="005132A0"/>
    <w:rsid w:val="00517B81"/>
    <w:rsid w:val="005211AB"/>
    <w:rsid w:val="00524B3A"/>
    <w:rsid w:val="00530688"/>
    <w:rsid w:val="00543E8D"/>
    <w:rsid w:val="005543E5"/>
    <w:rsid w:val="005577D4"/>
    <w:rsid w:val="00564110"/>
    <w:rsid w:val="0057014B"/>
    <w:rsid w:val="00571134"/>
    <w:rsid w:val="005819D9"/>
    <w:rsid w:val="00582D11"/>
    <w:rsid w:val="00592879"/>
    <w:rsid w:val="00597273"/>
    <w:rsid w:val="005A26AD"/>
    <w:rsid w:val="005A375D"/>
    <w:rsid w:val="005B2091"/>
    <w:rsid w:val="005B4EE3"/>
    <w:rsid w:val="005C04A9"/>
    <w:rsid w:val="005C1940"/>
    <w:rsid w:val="005C38C2"/>
    <w:rsid w:val="005C7576"/>
    <w:rsid w:val="005D737C"/>
    <w:rsid w:val="005E454E"/>
    <w:rsid w:val="005E7481"/>
    <w:rsid w:val="005F5095"/>
    <w:rsid w:val="00623765"/>
    <w:rsid w:val="00631D82"/>
    <w:rsid w:val="00635B9B"/>
    <w:rsid w:val="00636178"/>
    <w:rsid w:val="0064643E"/>
    <w:rsid w:val="00663C79"/>
    <w:rsid w:val="0066669F"/>
    <w:rsid w:val="006719D1"/>
    <w:rsid w:val="0068266F"/>
    <w:rsid w:val="00682AA3"/>
    <w:rsid w:val="00683859"/>
    <w:rsid w:val="00684638"/>
    <w:rsid w:val="0069168C"/>
    <w:rsid w:val="0069310D"/>
    <w:rsid w:val="006B7E0E"/>
    <w:rsid w:val="006C3C25"/>
    <w:rsid w:val="006C3FE7"/>
    <w:rsid w:val="006C5C14"/>
    <w:rsid w:val="006E0908"/>
    <w:rsid w:val="007029EE"/>
    <w:rsid w:val="00705305"/>
    <w:rsid w:val="00710446"/>
    <w:rsid w:val="00714D62"/>
    <w:rsid w:val="00730BB0"/>
    <w:rsid w:val="007415F3"/>
    <w:rsid w:val="00743D25"/>
    <w:rsid w:val="00746E41"/>
    <w:rsid w:val="00751050"/>
    <w:rsid w:val="00755B9C"/>
    <w:rsid w:val="0076312B"/>
    <w:rsid w:val="0076423B"/>
    <w:rsid w:val="007708FB"/>
    <w:rsid w:val="00775DBA"/>
    <w:rsid w:val="007876B5"/>
    <w:rsid w:val="00795281"/>
    <w:rsid w:val="007A155C"/>
    <w:rsid w:val="007A62A3"/>
    <w:rsid w:val="007B7BBC"/>
    <w:rsid w:val="007C3716"/>
    <w:rsid w:val="007C3D82"/>
    <w:rsid w:val="007C48F5"/>
    <w:rsid w:val="007C671E"/>
    <w:rsid w:val="007D5119"/>
    <w:rsid w:val="007E0181"/>
    <w:rsid w:val="007E4CF3"/>
    <w:rsid w:val="007E580A"/>
    <w:rsid w:val="007E72FA"/>
    <w:rsid w:val="007E7CC7"/>
    <w:rsid w:val="007F24FD"/>
    <w:rsid w:val="007F4563"/>
    <w:rsid w:val="007F4914"/>
    <w:rsid w:val="007F6793"/>
    <w:rsid w:val="007F68F9"/>
    <w:rsid w:val="00801762"/>
    <w:rsid w:val="00814D03"/>
    <w:rsid w:val="0081618F"/>
    <w:rsid w:val="00817F64"/>
    <w:rsid w:val="0083012C"/>
    <w:rsid w:val="0083168D"/>
    <w:rsid w:val="00845E57"/>
    <w:rsid w:val="008527B1"/>
    <w:rsid w:val="008548AB"/>
    <w:rsid w:val="008550C2"/>
    <w:rsid w:val="00862613"/>
    <w:rsid w:val="00875041"/>
    <w:rsid w:val="00882495"/>
    <w:rsid w:val="00896723"/>
    <w:rsid w:val="008A1602"/>
    <w:rsid w:val="008A2532"/>
    <w:rsid w:val="008A5203"/>
    <w:rsid w:val="008A77D2"/>
    <w:rsid w:val="008C49DF"/>
    <w:rsid w:val="008C6B55"/>
    <w:rsid w:val="008D418E"/>
    <w:rsid w:val="008D7940"/>
    <w:rsid w:val="008E22B3"/>
    <w:rsid w:val="008E38DE"/>
    <w:rsid w:val="008E54F8"/>
    <w:rsid w:val="008E5BB4"/>
    <w:rsid w:val="008E5F43"/>
    <w:rsid w:val="0090447A"/>
    <w:rsid w:val="00912419"/>
    <w:rsid w:val="00920C1C"/>
    <w:rsid w:val="0092196A"/>
    <w:rsid w:val="00922155"/>
    <w:rsid w:val="00930628"/>
    <w:rsid w:val="009318E0"/>
    <w:rsid w:val="00932BC5"/>
    <w:rsid w:val="00944F2E"/>
    <w:rsid w:val="0095187B"/>
    <w:rsid w:val="00957267"/>
    <w:rsid w:val="00960352"/>
    <w:rsid w:val="00960FE9"/>
    <w:rsid w:val="009622F2"/>
    <w:rsid w:val="00965AFF"/>
    <w:rsid w:val="0096645A"/>
    <w:rsid w:val="009707E7"/>
    <w:rsid w:val="0098026E"/>
    <w:rsid w:val="009836AD"/>
    <w:rsid w:val="0098520B"/>
    <w:rsid w:val="00986CD8"/>
    <w:rsid w:val="009877A0"/>
    <w:rsid w:val="009958D0"/>
    <w:rsid w:val="009A05A3"/>
    <w:rsid w:val="009A4A0D"/>
    <w:rsid w:val="009B17FD"/>
    <w:rsid w:val="009B705D"/>
    <w:rsid w:val="009D000A"/>
    <w:rsid w:val="009D5280"/>
    <w:rsid w:val="009E34E9"/>
    <w:rsid w:val="009F1B0C"/>
    <w:rsid w:val="009F6AF9"/>
    <w:rsid w:val="00A00C1E"/>
    <w:rsid w:val="00A17E1E"/>
    <w:rsid w:val="00A24825"/>
    <w:rsid w:val="00A27D6D"/>
    <w:rsid w:val="00A27DAF"/>
    <w:rsid w:val="00A41A75"/>
    <w:rsid w:val="00A41D98"/>
    <w:rsid w:val="00A42469"/>
    <w:rsid w:val="00A522B1"/>
    <w:rsid w:val="00A55896"/>
    <w:rsid w:val="00A6298A"/>
    <w:rsid w:val="00A776C3"/>
    <w:rsid w:val="00A8409E"/>
    <w:rsid w:val="00A878E5"/>
    <w:rsid w:val="00A93750"/>
    <w:rsid w:val="00A97254"/>
    <w:rsid w:val="00AA0521"/>
    <w:rsid w:val="00AB1938"/>
    <w:rsid w:val="00AB665B"/>
    <w:rsid w:val="00AC4371"/>
    <w:rsid w:val="00AD6436"/>
    <w:rsid w:val="00AE0A45"/>
    <w:rsid w:val="00AE0DCC"/>
    <w:rsid w:val="00AF3433"/>
    <w:rsid w:val="00B01BBA"/>
    <w:rsid w:val="00B07863"/>
    <w:rsid w:val="00B116C0"/>
    <w:rsid w:val="00B1620D"/>
    <w:rsid w:val="00B331BF"/>
    <w:rsid w:val="00B50EFA"/>
    <w:rsid w:val="00B536AC"/>
    <w:rsid w:val="00B56E5F"/>
    <w:rsid w:val="00B6210A"/>
    <w:rsid w:val="00B7260D"/>
    <w:rsid w:val="00B72B17"/>
    <w:rsid w:val="00B771C5"/>
    <w:rsid w:val="00B84ECD"/>
    <w:rsid w:val="00B9076E"/>
    <w:rsid w:val="00B90AB6"/>
    <w:rsid w:val="00BB3695"/>
    <w:rsid w:val="00BB58EC"/>
    <w:rsid w:val="00BB638D"/>
    <w:rsid w:val="00BC2B97"/>
    <w:rsid w:val="00BC773A"/>
    <w:rsid w:val="00BD1ED6"/>
    <w:rsid w:val="00BD47BA"/>
    <w:rsid w:val="00BD7CE7"/>
    <w:rsid w:val="00BE387C"/>
    <w:rsid w:val="00BE7149"/>
    <w:rsid w:val="00BF12AC"/>
    <w:rsid w:val="00BF6CB5"/>
    <w:rsid w:val="00C017D5"/>
    <w:rsid w:val="00C0199C"/>
    <w:rsid w:val="00C0548B"/>
    <w:rsid w:val="00C07806"/>
    <w:rsid w:val="00C178CF"/>
    <w:rsid w:val="00C2310E"/>
    <w:rsid w:val="00C31D5D"/>
    <w:rsid w:val="00C32314"/>
    <w:rsid w:val="00C351CD"/>
    <w:rsid w:val="00C35B19"/>
    <w:rsid w:val="00C572A0"/>
    <w:rsid w:val="00C73100"/>
    <w:rsid w:val="00C76D35"/>
    <w:rsid w:val="00C77CFB"/>
    <w:rsid w:val="00C83C0F"/>
    <w:rsid w:val="00C857B0"/>
    <w:rsid w:val="00C87F4D"/>
    <w:rsid w:val="00C9500A"/>
    <w:rsid w:val="00CA2093"/>
    <w:rsid w:val="00CA3B98"/>
    <w:rsid w:val="00CA4A89"/>
    <w:rsid w:val="00CA55FA"/>
    <w:rsid w:val="00CB382F"/>
    <w:rsid w:val="00CC6D02"/>
    <w:rsid w:val="00CE246D"/>
    <w:rsid w:val="00CF0D22"/>
    <w:rsid w:val="00CF3BF7"/>
    <w:rsid w:val="00CF4F60"/>
    <w:rsid w:val="00D02DC9"/>
    <w:rsid w:val="00D07DDC"/>
    <w:rsid w:val="00D22EC5"/>
    <w:rsid w:val="00D26A20"/>
    <w:rsid w:val="00D305B5"/>
    <w:rsid w:val="00D33E95"/>
    <w:rsid w:val="00D44FED"/>
    <w:rsid w:val="00D471D1"/>
    <w:rsid w:val="00D60817"/>
    <w:rsid w:val="00D60B7D"/>
    <w:rsid w:val="00D61933"/>
    <w:rsid w:val="00D62096"/>
    <w:rsid w:val="00D64B08"/>
    <w:rsid w:val="00D66A55"/>
    <w:rsid w:val="00D72306"/>
    <w:rsid w:val="00D755C4"/>
    <w:rsid w:val="00D75777"/>
    <w:rsid w:val="00D80117"/>
    <w:rsid w:val="00D80E64"/>
    <w:rsid w:val="00D812F9"/>
    <w:rsid w:val="00D94ED5"/>
    <w:rsid w:val="00DA4329"/>
    <w:rsid w:val="00DB1C65"/>
    <w:rsid w:val="00DC273E"/>
    <w:rsid w:val="00DD60CE"/>
    <w:rsid w:val="00DD7807"/>
    <w:rsid w:val="00DE0B94"/>
    <w:rsid w:val="00DE6574"/>
    <w:rsid w:val="00DE6B46"/>
    <w:rsid w:val="00DE75A6"/>
    <w:rsid w:val="00DF1D73"/>
    <w:rsid w:val="00DF78B9"/>
    <w:rsid w:val="00E03FE3"/>
    <w:rsid w:val="00E069E1"/>
    <w:rsid w:val="00E133F3"/>
    <w:rsid w:val="00E14443"/>
    <w:rsid w:val="00E1674F"/>
    <w:rsid w:val="00E236CB"/>
    <w:rsid w:val="00E25D26"/>
    <w:rsid w:val="00E267ED"/>
    <w:rsid w:val="00E33731"/>
    <w:rsid w:val="00E36DE4"/>
    <w:rsid w:val="00E460CB"/>
    <w:rsid w:val="00E533CF"/>
    <w:rsid w:val="00E654B6"/>
    <w:rsid w:val="00E6683E"/>
    <w:rsid w:val="00E76B1A"/>
    <w:rsid w:val="00E76E52"/>
    <w:rsid w:val="00E9295B"/>
    <w:rsid w:val="00E936C1"/>
    <w:rsid w:val="00E94786"/>
    <w:rsid w:val="00EB1B93"/>
    <w:rsid w:val="00EB1E7A"/>
    <w:rsid w:val="00EB3149"/>
    <w:rsid w:val="00EC4490"/>
    <w:rsid w:val="00ED0F2A"/>
    <w:rsid w:val="00ED769B"/>
    <w:rsid w:val="00EE0B7D"/>
    <w:rsid w:val="00EE4986"/>
    <w:rsid w:val="00EE59A0"/>
    <w:rsid w:val="00EE5FE5"/>
    <w:rsid w:val="00EF0DE8"/>
    <w:rsid w:val="00F01E7C"/>
    <w:rsid w:val="00F06268"/>
    <w:rsid w:val="00F10403"/>
    <w:rsid w:val="00F16F7F"/>
    <w:rsid w:val="00F24363"/>
    <w:rsid w:val="00F30051"/>
    <w:rsid w:val="00F30088"/>
    <w:rsid w:val="00F33ADB"/>
    <w:rsid w:val="00F40CA8"/>
    <w:rsid w:val="00F45F27"/>
    <w:rsid w:val="00F54806"/>
    <w:rsid w:val="00F61BED"/>
    <w:rsid w:val="00F61CCD"/>
    <w:rsid w:val="00F643EB"/>
    <w:rsid w:val="00F71442"/>
    <w:rsid w:val="00F77F22"/>
    <w:rsid w:val="00F808D1"/>
    <w:rsid w:val="00F82429"/>
    <w:rsid w:val="00F863C2"/>
    <w:rsid w:val="00F926BD"/>
    <w:rsid w:val="00FA4521"/>
    <w:rsid w:val="00FB150A"/>
    <w:rsid w:val="00FB6EEF"/>
    <w:rsid w:val="00FC01A6"/>
    <w:rsid w:val="00FC2151"/>
    <w:rsid w:val="00FC4B81"/>
    <w:rsid w:val="00FC5F7A"/>
    <w:rsid w:val="00FC5FE5"/>
    <w:rsid w:val="00FC66C6"/>
    <w:rsid w:val="00FC70F0"/>
    <w:rsid w:val="00FD5CCB"/>
    <w:rsid w:val="00FD78BD"/>
    <w:rsid w:val="01BB0EED"/>
    <w:rsid w:val="01D14627"/>
    <w:rsid w:val="0525137D"/>
    <w:rsid w:val="05FC5255"/>
    <w:rsid w:val="07F72342"/>
    <w:rsid w:val="0AC1B48B"/>
    <w:rsid w:val="0C8C5DEB"/>
    <w:rsid w:val="1155C259"/>
    <w:rsid w:val="11F3B86D"/>
    <w:rsid w:val="12BB7396"/>
    <w:rsid w:val="136F2E69"/>
    <w:rsid w:val="13E4DEF5"/>
    <w:rsid w:val="145BDA1C"/>
    <w:rsid w:val="15B98763"/>
    <w:rsid w:val="1661578E"/>
    <w:rsid w:val="1AA4B78C"/>
    <w:rsid w:val="1B69A0C9"/>
    <w:rsid w:val="1C0A5C08"/>
    <w:rsid w:val="1C8564B5"/>
    <w:rsid w:val="1CB90442"/>
    <w:rsid w:val="1EE3D428"/>
    <w:rsid w:val="2094328F"/>
    <w:rsid w:val="20CDAA87"/>
    <w:rsid w:val="23219F80"/>
    <w:rsid w:val="2348DDE4"/>
    <w:rsid w:val="275985A5"/>
    <w:rsid w:val="27901F7F"/>
    <w:rsid w:val="292395C9"/>
    <w:rsid w:val="2BA34BEC"/>
    <w:rsid w:val="2D1E5494"/>
    <w:rsid w:val="2DCB34F7"/>
    <w:rsid w:val="2EBFAE26"/>
    <w:rsid w:val="2F678B5E"/>
    <w:rsid w:val="2FA39C58"/>
    <w:rsid w:val="3145983F"/>
    <w:rsid w:val="31494812"/>
    <w:rsid w:val="31DC2A2A"/>
    <w:rsid w:val="332FC58D"/>
    <w:rsid w:val="3389A843"/>
    <w:rsid w:val="3459680A"/>
    <w:rsid w:val="345A0CBB"/>
    <w:rsid w:val="362EA97C"/>
    <w:rsid w:val="36FC36F0"/>
    <w:rsid w:val="3861C67A"/>
    <w:rsid w:val="3914EC06"/>
    <w:rsid w:val="3D21DF49"/>
    <w:rsid w:val="3D58D3A2"/>
    <w:rsid w:val="3DE86EA9"/>
    <w:rsid w:val="3E15D595"/>
    <w:rsid w:val="3EA98A42"/>
    <w:rsid w:val="3F0B5544"/>
    <w:rsid w:val="3F1CE874"/>
    <w:rsid w:val="4192B59F"/>
    <w:rsid w:val="4245E37E"/>
    <w:rsid w:val="43C049CE"/>
    <w:rsid w:val="455E3441"/>
    <w:rsid w:val="471D5CDA"/>
    <w:rsid w:val="488BFAA4"/>
    <w:rsid w:val="48D64AE1"/>
    <w:rsid w:val="4A84FD34"/>
    <w:rsid w:val="4C7A4F05"/>
    <w:rsid w:val="4D722C32"/>
    <w:rsid w:val="515E74A8"/>
    <w:rsid w:val="52594AFE"/>
    <w:rsid w:val="54996174"/>
    <w:rsid w:val="5580C0CD"/>
    <w:rsid w:val="55C67781"/>
    <w:rsid w:val="56178C24"/>
    <w:rsid w:val="5682221F"/>
    <w:rsid w:val="57F305F7"/>
    <w:rsid w:val="581EAB50"/>
    <w:rsid w:val="584AE2E3"/>
    <w:rsid w:val="58E3E661"/>
    <w:rsid w:val="598BED26"/>
    <w:rsid w:val="5A04EE54"/>
    <w:rsid w:val="5B1515A6"/>
    <w:rsid w:val="5C642C85"/>
    <w:rsid w:val="5C6B3F03"/>
    <w:rsid w:val="5CEEB91F"/>
    <w:rsid w:val="5D50BA00"/>
    <w:rsid w:val="5E54D429"/>
    <w:rsid w:val="5FCA980C"/>
    <w:rsid w:val="64B9CB1E"/>
    <w:rsid w:val="671FF63A"/>
    <w:rsid w:val="672D645C"/>
    <w:rsid w:val="681847E2"/>
    <w:rsid w:val="69366435"/>
    <w:rsid w:val="696EF11C"/>
    <w:rsid w:val="6A57800A"/>
    <w:rsid w:val="6AD93F87"/>
    <w:rsid w:val="6AF11C11"/>
    <w:rsid w:val="6BAFA580"/>
    <w:rsid w:val="6C19A508"/>
    <w:rsid w:val="6CABDD62"/>
    <w:rsid w:val="6D477A36"/>
    <w:rsid w:val="6E2D4D76"/>
    <w:rsid w:val="6E9158FF"/>
    <w:rsid w:val="6ED65A83"/>
    <w:rsid w:val="6F980942"/>
    <w:rsid w:val="702156BF"/>
    <w:rsid w:val="711C60E4"/>
    <w:rsid w:val="711C7E7C"/>
    <w:rsid w:val="75ECFA2C"/>
    <w:rsid w:val="77D59E73"/>
    <w:rsid w:val="79CFF76B"/>
    <w:rsid w:val="7B1E6E8A"/>
    <w:rsid w:val="7C80193E"/>
    <w:rsid w:val="7E12E7A3"/>
    <w:rsid w:val="7ED1F5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B6925"/>
  <w15:chartTrackingRefBased/>
  <w15:docId w15:val="{A41789AE-9B1D-4A30-9ADA-BF7B99B1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C2"/>
    <w:rPr>
      <w:sz w:val="24"/>
      <w:szCs w:val="24"/>
      <w:lang w:val="es-ES_tradnl" w:eastAsia="es-ES"/>
    </w:rPr>
  </w:style>
  <w:style w:type="paragraph" w:styleId="Ttulo1">
    <w:name w:val="heading 1"/>
    <w:basedOn w:val="Normal"/>
    <w:next w:val="Normal"/>
    <w:link w:val="Ttulo1Car"/>
    <w:uiPriority w:val="9"/>
    <w:qFormat/>
    <w:rsid w:val="00E936C1"/>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unhideWhenUsed/>
    <w:qFormat/>
    <w:rsid w:val="00E936C1"/>
    <w:pPr>
      <w:keepNext/>
      <w:spacing w:before="240" w:after="60"/>
      <w:outlineLvl w:val="1"/>
    </w:pPr>
    <w:rPr>
      <w:rFonts w:eastAsia="Times New Roman"/>
      <w:b/>
      <w:bCs/>
      <w:i/>
      <w:iCs/>
      <w:sz w:val="28"/>
      <w:szCs w:val="28"/>
    </w:rPr>
  </w:style>
  <w:style w:type="paragraph" w:styleId="Ttulo3">
    <w:name w:val="heading 3"/>
    <w:basedOn w:val="Normal"/>
    <w:next w:val="Normal"/>
    <w:link w:val="Ttulo3Car"/>
    <w:qFormat/>
    <w:rsid w:val="00663C79"/>
    <w:pPr>
      <w:keepNext/>
      <w:jc w:val="right"/>
      <w:outlineLvl w:val="2"/>
    </w:pPr>
    <w:rPr>
      <w:rFonts w:ascii="Tahoma" w:eastAsia="Times New Roman" w:hAnsi="Tahoma"/>
      <w:b/>
      <w:bCs/>
      <w:sz w:val="22"/>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4371"/>
    <w:pPr>
      <w:tabs>
        <w:tab w:val="center" w:pos="4252"/>
        <w:tab w:val="right" w:pos="8504"/>
      </w:tabs>
    </w:pPr>
  </w:style>
  <w:style w:type="character" w:customStyle="1" w:styleId="EncabezadoCar">
    <w:name w:val="Encabezado Car"/>
    <w:basedOn w:val="Fuentedeprrafopredeter"/>
    <w:link w:val="Encabezado"/>
    <w:uiPriority w:val="99"/>
    <w:rsid w:val="00AC4371"/>
  </w:style>
  <w:style w:type="paragraph" w:styleId="Piedepgina">
    <w:name w:val="footer"/>
    <w:basedOn w:val="Normal"/>
    <w:link w:val="PiedepginaCar"/>
    <w:uiPriority w:val="99"/>
    <w:unhideWhenUsed/>
    <w:rsid w:val="00AC4371"/>
    <w:pPr>
      <w:tabs>
        <w:tab w:val="center" w:pos="4252"/>
        <w:tab w:val="right" w:pos="8504"/>
      </w:tabs>
    </w:pPr>
  </w:style>
  <w:style w:type="character" w:customStyle="1" w:styleId="PiedepginaCar">
    <w:name w:val="Pie de página Car"/>
    <w:basedOn w:val="Fuentedeprrafopredeter"/>
    <w:link w:val="Piedepgina"/>
    <w:uiPriority w:val="99"/>
    <w:rsid w:val="00AC4371"/>
  </w:style>
  <w:style w:type="paragraph" w:styleId="Textodeglobo">
    <w:name w:val="Balloon Text"/>
    <w:basedOn w:val="Normal"/>
    <w:link w:val="TextodegloboCar"/>
    <w:uiPriority w:val="99"/>
    <w:semiHidden/>
    <w:unhideWhenUsed/>
    <w:rsid w:val="00AC4371"/>
    <w:rPr>
      <w:rFonts w:ascii="Lucida Grande" w:hAnsi="Lucida Grande"/>
      <w:sz w:val="18"/>
      <w:szCs w:val="18"/>
      <w:lang w:val="x-none" w:eastAsia="x-none"/>
    </w:rPr>
  </w:style>
  <w:style w:type="character" w:customStyle="1" w:styleId="TextodegloboCar">
    <w:name w:val="Texto de globo Car"/>
    <w:link w:val="Textodeglobo"/>
    <w:uiPriority w:val="99"/>
    <w:semiHidden/>
    <w:rsid w:val="00AC4371"/>
    <w:rPr>
      <w:rFonts w:ascii="Lucida Grande" w:hAnsi="Lucida Grande" w:cs="Lucida Grande"/>
      <w:sz w:val="18"/>
      <w:szCs w:val="18"/>
    </w:rPr>
  </w:style>
  <w:style w:type="paragraph" w:styleId="TDC1">
    <w:name w:val="toc 1"/>
    <w:basedOn w:val="Normal"/>
    <w:next w:val="Normal"/>
    <w:autoRedefine/>
    <w:uiPriority w:val="39"/>
    <w:unhideWhenUsed/>
    <w:rsid w:val="00592879"/>
    <w:pPr>
      <w:spacing w:after="100"/>
    </w:pPr>
    <w:rPr>
      <w:rFonts w:ascii="Arial" w:hAnsi="Arial"/>
      <w:sz w:val="22"/>
    </w:rPr>
  </w:style>
  <w:style w:type="paragraph" w:styleId="TDC2">
    <w:name w:val="toc 2"/>
    <w:basedOn w:val="Normal"/>
    <w:next w:val="Normal"/>
    <w:autoRedefine/>
    <w:uiPriority w:val="39"/>
    <w:unhideWhenUsed/>
    <w:rsid w:val="00592879"/>
    <w:pPr>
      <w:spacing w:after="100"/>
      <w:ind w:left="240"/>
    </w:pPr>
    <w:rPr>
      <w:rFonts w:ascii="Arial" w:hAnsi="Arial"/>
      <w:sz w:val="22"/>
    </w:rPr>
  </w:style>
  <w:style w:type="paragraph" w:styleId="TDC4">
    <w:name w:val="toc 4"/>
    <w:basedOn w:val="Normal"/>
    <w:next w:val="Normal"/>
    <w:autoRedefine/>
    <w:uiPriority w:val="39"/>
    <w:unhideWhenUsed/>
    <w:rsid w:val="00592879"/>
    <w:pPr>
      <w:spacing w:after="100"/>
      <w:ind w:left="720"/>
    </w:pPr>
    <w:rPr>
      <w:rFonts w:ascii="Arial" w:hAnsi="Arial"/>
      <w:sz w:val="22"/>
    </w:rPr>
  </w:style>
  <w:style w:type="paragraph" w:styleId="TDC3">
    <w:name w:val="toc 3"/>
    <w:basedOn w:val="Normal"/>
    <w:next w:val="Normal"/>
    <w:autoRedefine/>
    <w:uiPriority w:val="39"/>
    <w:unhideWhenUsed/>
    <w:rsid w:val="00592879"/>
    <w:pPr>
      <w:spacing w:after="100"/>
      <w:ind w:left="480"/>
    </w:pPr>
    <w:rPr>
      <w:rFonts w:ascii="Arial" w:hAnsi="Arial"/>
      <w:sz w:val="22"/>
    </w:rPr>
  </w:style>
  <w:style w:type="numbering" w:styleId="1ai">
    <w:name w:val="Outline List 1"/>
    <w:basedOn w:val="Sinlista"/>
    <w:uiPriority w:val="99"/>
    <w:semiHidden/>
    <w:unhideWhenUsed/>
    <w:rsid w:val="00592879"/>
    <w:pPr>
      <w:numPr>
        <w:numId w:val="4"/>
      </w:numPr>
    </w:pPr>
  </w:style>
  <w:style w:type="paragraph" w:styleId="TDC5">
    <w:name w:val="toc 5"/>
    <w:basedOn w:val="Normal"/>
    <w:next w:val="Normal"/>
    <w:autoRedefine/>
    <w:uiPriority w:val="39"/>
    <w:unhideWhenUsed/>
    <w:rsid w:val="00592879"/>
    <w:pPr>
      <w:spacing w:after="100"/>
      <w:ind w:left="960"/>
    </w:pPr>
    <w:rPr>
      <w:rFonts w:ascii="Arial" w:hAnsi="Arial"/>
      <w:sz w:val="22"/>
    </w:rPr>
  </w:style>
  <w:style w:type="paragraph" w:styleId="TDC6">
    <w:name w:val="toc 6"/>
    <w:basedOn w:val="Normal"/>
    <w:next w:val="Normal"/>
    <w:autoRedefine/>
    <w:uiPriority w:val="39"/>
    <w:unhideWhenUsed/>
    <w:rsid w:val="00592879"/>
    <w:pPr>
      <w:spacing w:after="100"/>
      <w:ind w:left="1200"/>
    </w:pPr>
    <w:rPr>
      <w:rFonts w:ascii="Arial" w:hAnsi="Arial"/>
      <w:sz w:val="22"/>
    </w:rPr>
  </w:style>
  <w:style w:type="paragraph" w:styleId="TDC7">
    <w:name w:val="toc 7"/>
    <w:basedOn w:val="Normal"/>
    <w:next w:val="Normal"/>
    <w:autoRedefine/>
    <w:uiPriority w:val="39"/>
    <w:unhideWhenUsed/>
    <w:rsid w:val="00592879"/>
    <w:pPr>
      <w:spacing w:after="100"/>
      <w:ind w:left="1440"/>
    </w:pPr>
    <w:rPr>
      <w:rFonts w:ascii="Arial" w:hAnsi="Arial"/>
      <w:sz w:val="22"/>
    </w:rPr>
  </w:style>
  <w:style w:type="paragraph" w:styleId="TDC8">
    <w:name w:val="toc 8"/>
    <w:basedOn w:val="Normal"/>
    <w:next w:val="Normal"/>
    <w:autoRedefine/>
    <w:uiPriority w:val="39"/>
    <w:unhideWhenUsed/>
    <w:rsid w:val="00592879"/>
    <w:pPr>
      <w:spacing w:after="100"/>
      <w:ind w:left="1680"/>
    </w:pPr>
    <w:rPr>
      <w:rFonts w:ascii="Arial" w:hAnsi="Arial"/>
      <w:sz w:val="22"/>
    </w:rPr>
  </w:style>
  <w:style w:type="paragraph" w:styleId="TDC9">
    <w:name w:val="toc 9"/>
    <w:basedOn w:val="Normal"/>
    <w:next w:val="Normal"/>
    <w:autoRedefine/>
    <w:uiPriority w:val="39"/>
    <w:unhideWhenUsed/>
    <w:rsid w:val="00AF3433"/>
    <w:pPr>
      <w:spacing w:after="100"/>
    </w:pPr>
    <w:rPr>
      <w:rFonts w:ascii="Arial" w:hAnsi="Arial"/>
      <w:sz w:val="22"/>
    </w:rPr>
  </w:style>
  <w:style w:type="character" w:customStyle="1" w:styleId="Ttulo3Car">
    <w:name w:val="Título 3 Car"/>
    <w:link w:val="Ttulo3"/>
    <w:rsid w:val="00663C79"/>
    <w:rPr>
      <w:rFonts w:ascii="Tahoma" w:eastAsia="Times New Roman" w:hAnsi="Tahoma" w:cs="Times New Roman"/>
      <w:b/>
      <w:bCs/>
      <w:sz w:val="22"/>
    </w:rPr>
  </w:style>
  <w:style w:type="character" w:styleId="Hipervnculo">
    <w:name w:val="Hyperlink"/>
    <w:uiPriority w:val="99"/>
    <w:unhideWhenUsed/>
    <w:rsid w:val="00663C79"/>
    <w:rPr>
      <w:color w:val="0000FF"/>
      <w:u w:val="single"/>
    </w:rPr>
  </w:style>
  <w:style w:type="paragraph" w:styleId="Prrafodelista">
    <w:name w:val="List Paragraph"/>
    <w:basedOn w:val="Normal"/>
    <w:uiPriority w:val="34"/>
    <w:qFormat/>
    <w:rsid w:val="00251ECC"/>
    <w:pPr>
      <w:ind w:left="720"/>
      <w:contextualSpacing/>
    </w:pPr>
  </w:style>
  <w:style w:type="character" w:styleId="Refdecomentario">
    <w:name w:val="annotation reference"/>
    <w:uiPriority w:val="99"/>
    <w:semiHidden/>
    <w:unhideWhenUsed/>
    <w:rsid w:val="00E03FE3"/>
    <w:rPr>
      <w:sz w:val="16"/>
      <w:szCs w:val="16"/>
    </w:rPr>
  </w:style>
  <w:style w:type="paragraph" w:styleId="Textocomentario">
    <w:name w:val="annotation text"/>
    <w:basedOn w:val="Normal"/>
    <w:link w:val="TextocomentarioCar"/>
    <w:uiPriority w:val="99"/>
    <w:semiHidden/>
    <w:unhideWhenUsed/>
    <w:rsid w:val="00E03FE3"/>
    <w:rPr>
      <w:sz w:val="20"/>
      <w:szCs w:val="20"/>
      <w:lang w:val="x-none" w:eastAsia="x-none"/>
    </w:rPr>
  </w:style>
  <w:style w:type="character" w:customStyle="1" w:styleId="TextocomentarioCar">
    <w:name w:val="Texto comentario Car"/>
    <w:link w:val="Textocomentario"/>
    <w:uiPriority w:val="99"/>
    <w:semiHidden/>
    <w:rsid w:val="00E03FE3"/>
    <w:rPr>
      <w:sz w:val="20"/>
      <w:szCs w:val="20"/>
    </w:rPr>
  </w:style>
  <w:style w:type="paragraph" w:styleId="Asuntodelcomentario">
    <w:name w:val="annotation subject"/>
    <w:basedOn w:val="Textocomentario"/>
    <w:next w:val="Textocomentario"/>
    <w:link w:val="AsuntodelcomentarioCar"/>
    <w:uiPriority w:val="99"/>
    <w:semiHidden/>
    <w:unhideWhenUsed/>
    <w:rsid w:val="00E03FE3"/>
    <w:rPr>
      <w:b/>
      <w:bCs/>
    </w:rPr>
  </w:style>
  <w:style w:type="character" w:customStyle="1" w:styleId="AsuntodelcomentarioCar">
    <w:name w:val="Asunto del comentario Car"/>
    <w:link w:val="Asuntodelcomentario"/>
    <w:uiPriority w:val="99"/>
    <w:semiHidden/>
    <w:rsid w:val="00E03FE3"/>
    <w:rPr>
      <w:b/>
      <w:bCs/>
      <w:sz w:val="20"/>
      <w:szCs w:val="20"/>
    </w:rPr>
  </w:style>
  <w:style w:type="paragraph" w:styleId="Textoindependiente2">
    <w:name w:val="Body Text 2"/>
    <w:basedOn w:val="Normal"/>
    <w:link w:val="Textoindependiente2Car"/>
    <w:semiHidden/>
    <w:unhideWhenUsed/>
    <w:rsid w:val="00F863C2"/>
    <w:pPr>
      <w:tabs>
        <w:tab w:val="left" w:pos="1440"/>
        <w:tab w:val="left" w:pos="3960"/>
        <w:tab w:val="left" w:pos="6840"/>
      </w:tabs>
      <w:jc w:val="both"/>
    </w:pPr>
    <w:rPr>
      <w:rFonts w:ascii="Times New Roman" w:eastAsia="Times New Roman" w:hAnsi="Times New Roman"/>
      <w:sz w:val="22"/>
      <w:lang w:val="es-AR"/>
    </w:rPr>
  </w:style>
  <w:style w:type="character" w:customStyle="1" w:styleId="Textoindependiente2Car">
    <w:name w:val="Texto independiente 2 Car"/>
    <w:link w:val="Textoindependiente2"/>
    <w:semiHidden/>
    <w:rsid w:val="00F863C2"/>
    <w:rPr>
      <w:rFonts w:ascii="Times New Roman" w:eastAsia="Times New Roman" w:hAnsi="Times New Roman"/>
      <w:sz w:val="22"/>
      <w:szCs w:val="24"/>
      <w:lang w:val="es-AR" w:eastAsia="es-ES"/>
    </w:rPr>
  </w:style>
  <w:style w:type="character" w:customStyle="1" w:styleId="Mencionar1">
    <w:name w:val="Mencionar1"/>
    <w:uiPriority w:val="99"/>
    <w:semiHidden/>
    <w:unhideWhenUsed/>
    <w:rsid w:val="001B478B"/>
    <w:rPr>
      <w:color w:val="2B579A"/>
      <w:shd w:val="clear" w:color="auto" w:fill="E6E6E6"/>
    </w:rPr>
  </w:style>
  <w:style w:type="character" w:customStyle="1" w:styleId="Ttulo1Car">
    <w:name w:val="Título 1 Car"/>
    <w:link w:val="Ttulo1"/>
    <w:uiPriority w:val="9"/>
    <w:rsid w:val="00E936C1"/>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rsid w:val="00E936C1"/>
    <w:rPr>
      <w:rFonts w:ascii="Cambria" w:eastAsia="Times New Roman" w:hAnsi="Cambria" w:cs="Times New Roman"/>
      <w:b/>
      <w:bCs/>
      <w:i/>
      <w:iCs/>
      <w:sz w:val="28"/>
      <w:szCs w:val="28"/>
      <w:lang w:val="es-ES_tradnl" w:eastAsia="es-ES"/>
    </w:rPr>
  </w:style>
  <w:style w:type="table" w:styleId="Tablaconcuadrcula">
    <w:name w:val="Table Grid"/>
    <w:basedOn w:val="Tablanormal"/>
    <w:uiPriority w:val="59"/>
    <w:rsid w:val="00C9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9500A"/>
    <w:rPr>
      <w:rFonts w:ascii="Calibri" w:eastAsia="Calibri" w:hAnsi="Calibri"/>
      <w:sz w:val="20"/>
      <w:szCs w:val="20"/>
      <w:lang w:val="es-CL" w:eastAsia="en-US"/>
    </w:rPr>
  </w:style>
  <w:style w:type="character" w:customStyle="1" w:styleId="TextonotapieCar">
    <w:name w:val="Texto nota pie Car"/>
    <w:link w:val="Textonotapie"/>
    <w:uiPriority w:val="99"/>
    <w:semiHidden/>
    <w:rsid w:val="00C9500A"/>
    <w:rPr>
      <w:rFonts w:ascii="Calibri" w:eastAsia="Calibri" w:hAnsi="Calibri" w:cs="Times New Roman"/>
      <w:lang w:eastAsia="en-US"/>
    </w:rPr>
  </w:style>
  <w:style w:type="character" w:styleId="Refdenotaalpie">
    <w:name w:val="footnote reference"/>
    <w:uiPriority w:val="99"/>
    <w:semiHidden/>
    <w:unhideWhenUsed/>
    <w:rsid w:val="00C9500A"/>
    <w:rPr>
      <w:vertAlign w:val="superscript"/>
    </w:rPr>
  </w:style>
  <w:style w:type="character" w:customStyle="1" w:styleId="Mencinsinresolver1">
    <w:name w:val="Mención sin resolver1"/>
    <w:uiPriority w:val="99"/>
    <w:semiHidden/>
    <w:unhideWhenUsed/>
    <w:rsid w:val="009D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4360">
      <w:bodyDiv w:val="1"/>
      <w:marLeft w:val="0"/>
      <w:marRight w:val="0"/>
      <w:marTop w:val="0"/>
      <w:marBottom w:val="0"/>
      <w:divBdr>
        <w:top w:val="none" w:sz="0" w:space="0" w:color="auto"/>
        <w:left w:val="none" w:sz="0" w:space="0" w:color="auto"/>
        <w:bottom w:val="none" w:sz="0" w:space="0" w:color="auto"/>
        <w:right w:val="none" w:sz="0" w:space="0" w:color="auto"/>
      </w:divBdr>
    </w:div>
    <w:div w:id="602689941">
      <w:bodyDiv w:val="1"/>
      <w:marLeft w:val="0"/>
      <w:marRight w:val="0"/>
      <w:marTop w:val="0"/>
      <w:marBottom w:val="0"/>
      <w:divBdr>
        <w:top w:val="none" w:sz="0" w:space="0" w:color="auto"/>
        <w:left w:val="none" w:sz="0" w:space="0" w:color="auto"/>
        <w:bottom w:val="none" w:sz="0" w:space="0" w:color="auto"/>
        <w:right w:val="none" w:sz="0" w:space="0" w:color="auto"/>
      </w:divBdr>
    </w:div>
    <w:div w:id="623006347">
      <w:bodyDiv w:val="1"/>
      <w:marLeft w:val="0"/>
      <w:marRight w:val="0"/>
      <w:marTop w:val="0"/>
      <w:marBottom w:val="0"/>
      <w:divBdr>
        <w:top w:val="none" w:sz="0" w:space="0" w:color="auto"/>
        <w:left w:val="none" w:sz="0" w:space="0" w:color="auto"/>
        <w:bottom w:val="none" w:sz="0" w:space="0" w:color="auto"/>
        <w:right w:val="none" w:sz="0" w:space="0" w:color="auto"/>
      </w:divBdr>
    </w:div>
    <w:div w:id="693460926">
      <w:bodyDiv w:val="1"/>
      <w:marLeft w:val="0"/>
      <w:marRight w:val="0"/>
      <w:marTop w:val="0"/>
      <w:marBottom w:val="0"/>
      <w:divBdr>
        <w:top w:val="none" w:sz="0" w:space="0" w:color="auto"/>
        <w:left w:val="none" w:sz="0" w:space="0" w:color="auto"/>
        <w:bottom w:val="none" w:sz="0" w:space="0" w:color="auto"/>
        <w:right w:val="none" w:sz="0" w:space="0" w:color="auto"/>
      </w:divBdr>
    </w:div>
    <w:div w:id="954210513">
      <w:bodyDiv w:val="1"/>
      <w:marLeft w:val="0"/>
      <w:marRight w:val="0"/>
      <w:marTop w:val="0"/>
      <w:marBottom w:val="0"/>
      <w:divBdr>
        <w:top w:val="none" w:sz="0" w:space="0" w:color="auto"/>
        <w:left w:val="none" w:sz="0" w:space="0" w:color="auto"/>
        <w:bottom w:val="none" w:sz="0" w:space="0" w:color="auto"/>
        <w:right w:val="none" w:sz="0" w:space="0" w:color="auto"/>
      </w:divBdr>
    </w:div>
    <w:div w:id="1074618925">
      <w:bodyDiv w:val="1"/>
      <w:marLeft w:val="0"/>
      <w:marRight w:val="0"/>
      <w:marTop w:val="0"/>
      <w:marBottom w:val="0"/>
      <w:divBdr>
        <w:top w:val="none" w:sz="0" w:space="0" w:color="auto"/>
        <w:left w:val="none" w:sz="0" w:space="0" w:color="auto"/>
        <w:bottom w:val="none" w:sz="0" w:space="0" w:color="auto"/>
        <w:right w:val="none" w:sz="0" w:space="0" w:color="auto"/>
      </w:divBdr>
    </w:div>
    <w:div w:id="1084380466">
      <w:bodyDiv w:val="1"/>
      <w:marLeft w:val="0"/>
      <w:marRight w:val="0"/>
      <w:marTop w:val="0"/>
      <w:marBottom w:val="0"/>
      <w:divBdr>
        <w:top w:val="none" w:sz="0" w:space="0" w:color="auto"/>
        <w:left w:val="none" w:sz="0" w:space="0" w:color="auto"/>
        <w:bottom w:val="none" w:sz="0" w:space="0" w:color="auto"/>
        <w:right w:val="none" w:sz="0" w:space="0" w:color="auto"/>
      </w:divBdr>
    </w:div>
    <w:div w:id="1153982865">
      <w:bodyDiv w:val="1"/>
      <w:marLeft w:val="0"/>
      <w:marRight w:val="0"/>
      <w:marTop w:val="0"/>
      <w:marBottom w:val="0"/>
      <w:divBdr>
        <w:top w:val="none" w:sz="0" w:space="0" w:color="auto"/>
        <w:left w:val="none" w:sz="0" w:space="0" w:color="auto"/>
        <w:bottom w:val="none" w:sz="0" w:space="0" w:color="auto"/>
        <w:right w:val="none" w:sz="0" w:space="0" w:color="auto"/>
      </w:divBdr>
    </w:div>
    <w:div w:id="1235893339">
      <w:bodyDiv w:val="1"/>
      <w:marLeft w:val="0"/>
      <w:marRight w:val="0"/>
      <w:marTop w:val="0"/>
      <w:marBottom w:val="0"/>
      <w:divBdr>
        <w:top w:val="none" w:sz="0" w:space="0" w:color="auto"/>
        <w:left w:val="none" w:sz="0" w:space="0" w:color="auto"/>
        <w:bottom w:val="none" w:sz="0" w:space="0" w:color="auto"/>
        <w:right w:val="none" w:sz="0" w:space="0" w:color="auto"/>
      </w:divBdr>
    </w:div>
    <w:div w:id="1781609688">
      <w:bodyDiv w:val="1"/>
      <w:marLeft w:val="0"/>
      <w:marRight w:val="0"/>
      <w:marTop w:val="0"/>
      <w:marBottom w:val="0"/>
      <w:divBdr>
        <w:top w:val="none" w:sz="0" w:space="0" w:color="auto"/>
        <w:left w:val="none" w:sz="0" w:space="0" w:color="auto"/>
        <w:bottom w:val="none" w:sz="0" w:space="0" w:color="auto"/>
        <w:right w:val="none" w:sz="0" w:space="0" w:color="auto"/>
      </w:divBdr>
    </w:div>
    <w:div w:id="193200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ordinado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22F66617C1E04ABD89E3A84ED07283" ma:contentTypeVersion="16" ma:contentTypeDescription="Crear nuevo documento." ma:contentTypeScope="" ma:versionID="ef9792ea66468f5dca227309e0f5fb9a">
  <xsd:schema xmlns:xsd="http://www.w3.org/2001/XMLSchema" xmlns:xs="http://www.w3.org/2001/XMLSchema" xmlns:p="http://schemas.microsoft.com/office/2006/metadata/properties" xmlns:ns1="http://schemas.microsoft.com/sharepoint/v3" xmlns:ns2="98a32613-780b-4258-b021-4cb927b73aad" xmlns:ns3="56367c45-e595-4b2a-8e58-15d4d53cb791" xmlns:ns4="4b098075-27f1-4ca3-9aec-4a0d5f4d7966" targetNamespace="http://schemas.microsoft.com/office/2006/metadata/properties" ma:root="true" ma:fieldsID="3a393cfb53810760e3d171af722be11d" ns1:_="" ns2:_="" ns3:_="" ns4:_="">
    <xsd:import namespace="http://schemas.microsoft.com/sharepoint/v3"/>
    <xsd:import namespace="98a32613-780b-4258-b021-4cb927b73aad"/>
    <xsd:import namespace="56367c45-e595-4b2a-8e58-15d4d53cb791"/>
    <xsd:import namespace="4b098075-27f1-4ca3-9aec-4a0d5f4d79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4:SharedWithUsers" minOccurs="0"/>
                <xsd:element ref="ns4:SharedWithDetail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32613-780b-4258-b021-4cb927b73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1ce9984-5077-443d-b2a5-26f675eae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67c45-e595-4b2a-8e58-15d4d53cb7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e9e23d7-346b-4e08-b649-32cc4d2eb5cc}" ma:internalName="TaxCatchAll" ma:showField="CatchAllData" ma:web="4b098075-27f1-4ca3-9aec-4a0d5f4d7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8075-27f1-4ca3-9aec-4a0d5f4d796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6367c45-e595-4b2a-8e58-15d4d53cb791" xsi:nil="true"/>
    <_ip_UnifiedCompliancePolicyProperties xmlns="http://schemas.microsoft.com/sharepoint/v3" xsi:nil="true"/>
    <lcf76f155ced4ddcb4097134ff3c332f xmlns="98a32613-780b-4258-b021-4cb927b73a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6BFBB1-729D-4B42-81EF-44F2052CF70A}">
  <ds:schemaRefs>
    <ds:schemaRef ds:uri="http://schemas.microsoft.com/sharepoint/v3/contenttype/forms"/>
  </ds:schemaRefs>
</ds:datastoreItem>
</file>

<file path=customXml/itemProps2.xml><?xml version="1.0" encoding="utf-8"?>
<ds:datastoreItem xmlns:ds="http://schemas.openxmlformats.org/officeDocument/2006/customXml" ds:itemID="{85E525A0-C7AD-47BF-9EDF-6561B54DD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a32613-780b-4258-b021-4cb927b73aad"/>
    <ds:schemaRef ds:uri="56367c45-e595-4b2a-8e58-15d4d53cb791"/>
    <ds:schemaRef ds:uri="4b098075-27f1-4ca3-9aec-4a0d5f4d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EC1D6-F612-4FE1-84EC-7063AE8D0F7D}">
  <ds:schemaRefs>
    <ds:schemaRef ds:uri="http://schemas.openxmlformats.org/officeDocument/2006/bibliography"/>
  </ds:schemaRefs>
</ds:datastoreItem>
</file>

<file path=customXml/itemProps4.xml><?xml version="1.0" encoding="utf-8"?>
<ds:datastoreItem xmlns:ds="http://schemas.openxmlformats.org/officeDocument/2006/customXml" ds:itemID="{DE301157-9EF7-4B9E-BEEF-A6B831BE06B6}">
  <ds:schemaRefs>
    <ds:schemaRef ds:uri="http://schemas.microsoft.com/office/2006/metadata/properties"/>
    <ds:schemaRef ds:uri="http://schemas.microsoft.com/office/infopath/2007/PartnerControls"/>
    <ds:schemaRef ds:uri="http://schemas.microsoft.com/sharepoint/v3"/>
    <ds:schemaRef ds:uri="56367c45-e595-4b2a-8e58-15d4d53cb791"/>
    <ds:schemaRef ds:uri="98a32613-780b-4258-b021-4cb927b73aa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dc:creator>
  <cp:keywords/>
  <cp:lastModifiedBy>Felipe Fernández Gutiérrez</cp:lastModifiedBy>
  <cp:revision>77</cp:revision>
  <dcterms:created xsi:type="dcterms:W3CDTF">2020-11-30T20:46:00Z</dcterms:created>
  <dcterms:modified xsi:type="dcterms:W3CDTF">2025-06-19T15:29:00Z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0x010100F322F66617C1E04ABD89E3A84ED07283</vt:lpwstr>
  </property>
  <property fmtid="{D5CDD505-2E9C-101B-9397-08002B2CF9AE}" pid="3" name="MediaServiceImageTags">
    <vt:lpwstr/>
  </property>
</Properties>
</file>